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F0" w:rsidRPr="001D5C6D" w:rsidRDefault="0075344C" w:rsidP="0075344C">
      <w:pPr>
        <w:spacing w:after="61" w:line="259" w:lineRule="auto"/>
        <w:ind w:left="0" w:right="-459" w:firstLine="0"/>
        <w:jc w:val="center"/>
        <w:rPr>
          <w:rFonts w:ascii="Arial" w:hAnsi="Arial" w:cs="Arial"/>
          <w:color w:val="auto"/>
          <w:szCs w:val="24"/>
        </w:rPr>
      </w:pPr>
      <w:bookmarkStart w:id="0" w:name="_GoBack"/>
      <w:bookmarkEnd w:id="0"/>
      <w:r w:rsidRPr="00BF16F0">
        <w:rPr>
          <w:noProof/>
        </w:rPr>
        <w:drawing>
          <wp:inline distT="0" distB="0" distL="0" distR="0" wp14:anchorId="663CE5EA" wp14:editId="494D1DF2">
            <wp:extent cx="5894705" cy="1215093"/>
            <wp:effectExtent l="0" t="0" r="0" b="4445"/>
            <wp:docPr id="1" name="Picture 1" descr="N:\SBM\Academy\steelri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BM\Academy\steelriv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705" cy="1215093"/>
                    </a:xfrm>
                    <a:prstGeom prst="rect">
                      <a:avLst/>
                    </a:prstGeom>
                    <a:noFill/>
                    <a:ln>
                      <a:noFill/>
                    </a:ln>
                  </pic:spPr>
                </pic:pic>
              </a:graphicData>
            </a:graphic>
          </wp:inline>
        </w:drawing>
      </w:r>
    </w:p>
    <w:p w:rsidR="00135BF0" w:rsidRPr="001D5C6D" w:rsidRDefault="004C68C0">
      <w:pPr>
        <w:spacing w:after="0" w:line="259" w:lineRule="auto"/>
        <w:ind w:left="1212" w:firstLine="0"/>
        <w:jc w:val="center"/>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75344C">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spacing w:after="0" w:line="259" w:lineRule="auto"/>
        <w:ind w:left="588"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F432BF" w:rsidRDefault="004C68C0" w:rsidP="00F432BF">
      <w:pPr>
        <w:spacing w:after="0" w:line="259" w:lineRule="auto"/>
        <w:ind w:left="598"/>
        <w:jc w:val="center"/>
        <w:rPr>
          <w:rFonts w:ascii="Arial" w:hAnsi="Arial" w:cs="Arial"/>
          <w:color w:val="auto"/>
          <w:sz w:val="96"/>
          <w:szCs w:val="96"/>
        </w:rPr>
      </w:pPr>
      <w:r w:rsidRPr="00F432BF">
        <w:rPr>
          <w:rFonts w:ascii="Arial" w:hAnsi="Arial" w:cs="Arial"/>
          <w:b/>
          <w:color w:val="auto"/>
          <w:sz w:val="96"/>
          <w:szCs w:val="96"/>
        </w:rPr>
        <w:t>Whistle Blowing</w:t>
      </w:r>
    </w:p>
    <w:p w:rsidR="00135BF0" w:rsidRPr="00F432BF" w:rsidRDefault="004C68C0" w:rsidP="00F432BF">
      <w:pPr>
        <w:spacing w:after="181" w:line="259" w:lineRule="auto"/>
        <w:ind w:left="598"/>
        <w:jc w:val="center"/>
        <w:rPr>
          <w:rFonts w:ascii="Arial" w:hAnsi="Arial" w:cs="Arial"/>
          <w:color w:val="auto"/>
          <w:sz w:val="96"/>
          <w:szCs w:val="96"/>
        </w:rPr>
      </w:pPr>
      <w:r w:rsidRPr="00F432BF">
        <w:rPr>
          <w:rFonts w:ascii="Arial" w:hAnsi="Arial" w:cs="Arial"/>
          <w:b/>
          <w:color w:val="auto"/>
          <w:sz w:val="96"/>
          <w:szCs w:val="96"/>
        </w:rPr>
        <w:t>Policy</w:t>
      </w:r>
    </w:p>
    <w:p w:rsidR="00135BF0" w:rsidRPr="001D5C6D" w:rsidRDefault="004C68C0" w:rsidP="001D5C6D">
      <w:pPr>
        <w:spacing w:after="0" w:line="259" w:lineRule="auto"/>
        <w:ind w:left="588" w:firstLine="0"/>
        <w:jc w:val="center"/>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135BF0">
      <w:pPr>
        <w:spacing w:after="43" w:line="259" w:lineRule="auto"/>
        <w:ind w:left="115" w:firstLine="0"/>
        <w:jc w:val="left"/>
        <w:rPr>
          <w:rFonts w:ascii="Arial" w:hAnsi="Arial" w:cs="Arial"/>
          <w:color w:val="auto"/>
          <w:szCs w:val="24"/>
        </w:rPr>
      </w:pPr>
    </w:p>
    <w:p w:rsidR="00135BF0" w:rsidRPr="001D5C6D" w:rsidRDefault="004C68C0">
      <w:pPr>
        <w:spacing w:after="0" w:line="259" w:lineRule="auto"/>
        <w:ind w:left="238" w:firstLine="0"/>
        <w:jc w:val="left"/>
        <w:rPr>
          <w:rFonts w:ascii="Arial" w:hAnsi="Arial" w:cs="Arial"/>
          <w:color w:val="auto"/>
          <w:szCs w:val="24"/>
        </w:rPr>
      </w:pPr>
      <w:r w:rsidRPr="001D5C6D">
        <w:rPr>
          <w:rFonts w:ascii="Arial" w:hAnsi="Arial" w:cs="Arial"/>
          <w:b/>
          <w:color w:val="auto"/>
          <w:szCs w:val="24"/>
        </w:rPr>
        <w:t>Key document details</w:t>
      </w:r>
      <w:r w:rsidRPr="001D5C6D">
        <w:rPr>
          <w:rFonts w:ascii="Arial" w:hAnsi="Arial" w:cs="Arial"/>
          <w:color w:val="auto"/>
          <w:szCs w:val="24"/>
        </w:rPr>
        <w:t xml:space="preserve"> </w:t>
      </w:r>
    </w:p>
    <w:tbl>
      <w:tblPr>
        <w:tblStyle w:val="TableGrid"/>
        <w:tblW w:w="5683" w:type="dxa"/>
        <w:tblInd w:w="115" w:type="dxa"/>
        <w:tblLook w:val="04A0" w:firstRow="1" w:lastRow="0" w:firstColumn="1" w:lastColumn="0" w:noHBand="0" w:noVBand="1"/>
      </w:tblPr>
      <w:tblGrid>
        <w:gridCol w:w="1484"/>
        <w:gridCol w:w="1236"/>
        <w:gridCol w:w="1620"/>
        <w:gridCol w:w="1343"/>
      </w:tblGrid>
      <w:tr w:rsidR="001D5C6D" w:rsidRPr="001D5C6D" w:rsidTr="003065E6">
        <w:trPr>
          <w:trHeight w:val="302"/>
        </w:trPr>
        <w:tc>
          <w:tcPr>
            <w:tcW w:w="1484" w:type="dxa"/>
            <w:tcBorders>
              <w:top w:val="nil"/>
              <w:left w:val="nil"/>
              <w:bottom w:val="nil"/>
              <w:right w:val="nil"/>
            </w:tcBorders>
          </w:tcPr>
          <w:p w:rsidR="00135BF0" w:rsidRPr="001D5C6D" w:rsidRDefault="004C68C0">
            <w:pPr>
              <w:spacing w:after="0" w:line="259" w:lineRule="auto"/>
              <w:ind w:left="122" w:firstLine="0"/>
              <w:jc w:val="left"/>
              <w:rPr>
                <w:rFonts w:ascii="Arial" w:hAnsi="Arial" w:cs="Arial"/>
                <w:color w:val="auto"/>
                <w:szCs w:val="24"/>
              </w:rPr>
            </w:pPr>
            <w:r w:rsidRPr="001D5C6D">
              <w:rPr>
                <w:rFonts w:ascii="Arial" w:hAnsi="Arial" w:cs="Arial"/>
                <w:b/>
                <w:color w:val="auto"/>
                <w:szCs w:val="24"/>
              </w:rPr>
              <w:t>Author:</w:t>
            </w:r>
            <w:r w:rsidRPr="001D5C6D">
              <w:rPr>
                <w:rFonts w:ascii="Arial" w:hAnsi="Arial" w:cs="Arial"/>
                <w:color w:val="auto"/>
                <w:szCs w:val="24"/>
              </w:rPr>
              <w:t xml:space="preserve"> </w:t>
            </w:r>
          </w:p>
        </w:tc>
        <w:tc>
          <w:tcPr>
            <w:tcW w:w="1236" w:type="dxa"/>
            <w:tcBorders>
              <w:top w:val="nil"/>
              <w:left w:val="nil"/>
              <w:bottom w:val="nil"/>
              <w:right w:val="nil"/>
            </w:tcBorders>
          </w:tcPr>
          <w:p w:rsidR="00135BF0" w:rsidRPr="001D5C6D" w:rsidRDefault="00F432BF">
            <w:pPr>
              <w:spacing w:after="0" w:line="259" w:lineRule="auto"/>
              <w:ind w:left="0" w:firstLine="0"/>
              <w:jc w:val="left"/>
              <w:rPr>
                <w:rFonts w:ascii="Arial" w:hAnsi="Arial" w:cs="Arial"/>
                <w:color w:val="auto"/>
                <w:szCs w:val="24"/>
              </w:rPr>
            </w:pPr>
            <w:r>
              <w:rPr>
                <w:rFonts w:ascii="Arial" w:hAnsi="Arial" w:cs="Arial"/>
                <w:color w:val="auto"/>
                <w:szCs w:val="24"/>
              </w:rPr>
              <w:t>CFO</w:t>
            </w:r>
            <w:r w:rsidR="004C68C0" w:rsidRPr="001D5C6D">
              <w:rPr>
                <w:rFonts w:ascii="Arial" w:hAnsi="Arial" w:cs="Arial"/>
                <w:color w:val="auto"/>
                <w:szCs w:val="24"/>
              </w:rPr>
              <w:t xml:space="preserve"> </w:t>
            </w:r>
          </w:p>
        </w:tc>
        <w:tc>
          <w:tcPr>
            <w:tcW w:w="1620" w:type="dxa"/>
            <w:tcBorders>
              <w:top w:val="nil"/>
              <w:left w:val="nil"/>
              <w:bottom w:val="nil"/>
              <w:right w:val="nil"/>
            </w:tcBorders>
          </w:tcPr>
          <w:p w:rsidR="00135BF0" w:rsidRPr="001D5C6D" w:rsidRDefault="004C68C0">
            <w:pPr>
              <w:spacing w:after="0" w:line="259" w:lineRule="auto"/>
              <w:ind w:left="134" w:firstLine="0"/>
              <w:jc w:val="left"/>
              <w:rPr>
                <w:rFonts w:ascii="Arial" w:hAnsi="Arial" w:cs="Arial"/>
                <w:color w:val="auto"/>
                <w:szCs w:val="24"/>
              </w:rPr>
            </w:pPr>
            <w:r w:rsidRPr="001D5C6D">
              <w:rPr>
                <w:rFonts w:ascii="Arial" w:hAnsi="Arial" w:cs="Arial"/>
                <w:b/>
                <w:color w:val="auto"/>
                <w:szCs w:val="24"/>
              </w:rPr>
              <w:t>Approver:</w:t>
            </w:r>
            <w:r w:rsidRPr="001D5C6D">
              <w:rPr>
                <w:rFonts w:ascii="Arial" w:hAnsi="Arial" w:cs="Arial"/>
                <w:color w:val="auto"/>
                <w:szCs w:val="24"/>
              </w:rPr>
              <w:t xml:space="preserve"> </w:t>
            </w:r>
          </w:p>
        </w:tc>
        <w:tc>
          <w:tcPr>
            <w:tcW w:w="1343" w:type="dxa"/>
            <w:tcBorders>
              <w:top w:val="nil"/>
              <w:left w:val="nil"/>
              <w:bottom w:val="nil"/>
              <w:right w:val="nil"/>
            </w:tcBorders>
          </w:tcPr>
          <w:p w:rsidR="00135BF0" w:rsidRPr="001D5C6D" w:rsidRDefault="004C68C0">
            <w:pPr>
              <w:spacing w:after="0" w:line="259" w:lineRule="auto"/>
              <w:ind w:left="132" w:firstLine="0"/>
              <w:jc w:val="left"/>
              <w:rPr>
                <w:rFonts w:ascii="Arial" w:hAnsi="Arial" w:cs="Arial"/>
                <w:color w:val="auto"/>
                <w:szCs w:val="24"/>
              </w:rPr>
            </w:pPr>
            <w:r w:rsidRPr="001D5C6D">
              <w:rPr>
                <w:rFonts w:ascii="Arial" w:hAnsi="Arial" w:cs="Arial"/>
                <w:color w:val="auto"/>
                <w:szCs w:val="24"/>
              </w:rPr>
              <w:t xml:space="preserve">CEO </w:t>
            </w:r>
          </w:p>
        </w:tc>
      </w:tr>
      <w:tr w:rsidR="001D5C6D" w:rsidRPr="001D5C6D" w:rsidTr="003065E6">
        <w:trPr>
          <w:trHeight w:val="407"/>
        </w:trPr>
        <w:tc>
          <w:tcPr>
            <w:tcW w:w="1484" w:type="dxa"/>
            <w:tcBorders>
              <w:top w:val="nil"/>
              <w:left w:val="nil"/>
              <w:bottom w:val="nil"/>
              <w:right w:val="nil"/>
            </w:tcBorders>
          </w:tcPr>
          <w:p w:rsidR="00135BF0" w:rsidRPr="001D5C6D" w:rsidRDefault="004C68C0">
            <w:pPr>
              <w:spacing w:after="0" w:line="259" w:lineRule="auto"/>
              <w:ind w:left="122" w:firstLine="0"/>
              <w:jc w:val="left"/>
              <w:rPr>
                <w:rFonts w:ascii="Arial" w:hAnsi="Arial" w:cs="Arial"/>
                <w:color w:val="auto"/>
                <w:szCs w:val="24"/>
              </w:rPr>
            </w:pPr>
            <w:r w:rsidRPr="001D5C6D">
              <w:rPr>
                <w:rFonts w:ascii="Arial" w:hAnsi="Arial" w:cs="Arial"/>
                <w:b/>
                <w:color w:val="auto"/>
                <w:szCs w:val="24"/>
              </w:rPr>
              <w:t>Owner:</w:t>
            </w:r>
            <w:r w:rsidRPr="001D5C6D">
              <w:rPr>
                <w:rFonts w:ascii="Arial" w:hAnsi="Arial" w:cs="Arial"/>
                <w:color w:val="auto"/>
                <w:szCs w:val="24"/>
              </w:rPr>
              <w:t xml:space="preserve"> </w:t>
            </w:r>
          </w:p>
        </w:tc>
        <w:tc>
          <w:tcPr>
            <w:tcW w:w="1236" w:type="dxa"/>
            <w:tcBorders>
              <w:top w:val="nil"/>
              <w:left w:val="nil"/>
              <w:bottom w:val="nil"/>
              <w:right w:val="nil"/>
            </w:tcBorders>
          </w:tcPr>
          <w:p w:rsidR="00135BF0" w:rsidRPr="001D5C6D" w:rsidRDefault="00135BF0">
            <w:pPr>
              <w:spacing w:after="0" w:line="259" w:lineRule="auto"/>
              <w:ind w:left="0" w:firstLine="0"/>
              <w:jc w:val="left"/>
              <w:rPr>
                <w:rFonts w:ascii="Arial" w:hAnsi="Arial" w:cs="Arial"/>
                <w:color w:val="auto"/>
                <w:szCs w:val="24"/>
              </w:rPr>
            </w:pPr>
          </w:p>
        </w:tc>
        <w:tc>
          <w:tcPr>
            <w:tcW w:w="1620" w:type="dxa"/>
            <w:tcBorders>
              <w:top w:val="nil"/>
              <w:left w:val="nil"/>
              <w:bottom w:val="nil"/>
              <w:right w:val="nil"/>
            </w:tcBorders>
          </w:tcPr>
          <w:p w:rsidR="00135BF0" w:rsidRPr="001D5C6D" w:rsidRDefault="004C68C0">
            <w:pPr>
              <w:spacing w:after="0" w:line="259" w:lineRule="auto"/>
              <w:ind w:left="134" w:firstLine="0"/>
              <w:jc w:val="left"/>
              <w:rPr>
                <w:rFonts w:ascii="Arial" w:hAnsi="Arial" w:cs="Arial"/>
                <w:color w:val="auto"/>
                <w:szCs w:val="24"/>
              </w:rPr>
            </w:pPr>
            <w:r w:rsidRPr="001D5C6D">
              <w:rPr>
                <w:rFonts w:ascii="Arial" w:hAnsi="Arial" w:cs="Arial"/>
                <w:b/>
                <w:color w:val="auto"/>
                <w:szCs w:val="24"/>
              </w:rPr>
              <w:t>Version no.:</w:t>
            </w:r>
            <w:r w:rsidRPr="001D5C6D">
              <w:rPr>
                <w:rFonts w:ascii="Arial" w:hAnsi="Arial" w:cs="Arial"/>
                <w:color w:val="auto"/>
                <w:szCs w:val="24"/>
              </w:rPr>
              <w:t xml:space="preserve"> </w:t>
            </w:r>
          </w:p>
        </w:tc>
        <w:tc>
          <w:tcPr>
            <w:tcW w:w="1343" w:type="dxa"/>
            <w:tcBorders>
              <w:top w:val="nil"/>
              <w:left w:val="nil"/>
              <w:bottom w:val="nil"/>
              <w:right w:val="nil"/>
            </w:tcBorders>
          </w:tcPr>
          <w:p w:rsidR="00135BF0" w:rsidRPr="001D5C6D" w:rsidRDefault="00F432BF">
            <w:pPr>
              <w:spacing w:after="0" w:line="259" w:lineRule="auto"/>
              <w:ind w:left="132" w:firstLine="0"/>
              <w:jc w:val="left"/>
              <w:rPr>
                <w:rFonts w:ascii="Arial" w:hAnsi="Arial" w:cs="Arial"/>
                <w:color w:val="auto"/>
                <w:szCs w:val="24"/>
              </w:rPr>
            </w:pPr>
            <w:r>
              <w:rPr>
                <w:rFonts w:ascii="Arial" w:hAnsi="Arial" w:cs="Arial"/>
                <w:color w:val="auto"/>
                <w:szCs w:val="24"/>
              </w:rPr>
              <w:t>1.0</w:t>
            </w:r>
          </w:p>
        </w:tc>
      </w:tr>
      <w:tr w:rsidR="001D5C6D" w:rsidRPr="001D5C6D" w:rsidTr="003065E6">
        <w:trPr>
          <w:trHeight w:val="413"/>
        </w:trPr>
        <w:tc>
          <w:tcPr>
            <w:tcW w:w="1484" w:type="dxa"/>
            <w:tcBorders>
              <w:top w:val="nil"/>
              <w:left w:val="nil"/>
              <w:bottom w:val="nil"/>
              <w:right w:val="nil"/>
            </w:tcBorders>
            <w:vAlign w:val="center"/>
          </w:tcPr>
          <w:p w:rsidR="00135BF0" w:rsidRPr="001D5C6D" w:rsidRDefault="004C68C0">
            <w:pPr>
              <w:spacing w:after="0" w:line="259" w:lineRule="auto"/>
              <w:ind w:left="0" w:firstLine="0"/>
              <w:jc w:val="left"/>
              <w:rPr>
                <w:rFonts w:ascii="Arial" w:hAnsi="Arial" w:cs="Arial"/>
                <w:color w:val="auto"/>
                <w:szCs w:val="24"/>
              </w:rPr>
            </w:pPr>
            <w:r w:rsidRPr="001D5C6D">
              <w:rPr>
                <w:rFonts w:ascii="Arial" w:hAnsi="Arial" w:cs="Arial"/>
                <w:b/>
                <w:color w:val="auto"/>
                <w:szCs w:val="24"/>
              </w:rPr>
              <w:t xml:space="preserve">   Last review:</w:t>
            </w:r>
            <w:r w:rsidRPr="001D5C6D">
              <w:rPr>
                <w:rFonts w:ascii="Arial" w:hAnsi="Arial" w:cs="Arial"/>
                <w:color w:val="auto"/>
                <w:szCs w:val="24"/>
              </w:rPr>
              <w:t xml:space="preserve"> </w:t>
            </w:r>
          </w:p>
        </w:tc>
        <w:tc>
          <w:tcPr>
            <w:tcW w:w="1236" w:type="dxa"/>
            <w:tcBorders>
              <w:top w:val="nil"/>
              <w:left w:val="nil"/>
              <w:bottom w:val="nil"/>
              <w:right w:val="nil"/>
            </w:tcBorders>
            <w:vAlign w:val="center"/>
          </w:tcPr>
          <w:p w:rsidR="00135BF0" w:rsidRPr="001D5C6D" w:rsidRDefault="00045F65">
            <w:pPr>
              <w:spacing w:after="0" w:line="259" w:lineRule="auto"/>
              <w:ind w:left="0" w:firstLine="0"/>
              <w:jc w:val="left"/>
              <w:rPr>
                <w:rFonts w:ascii="Arial" w:hAnsi="Arial" w:cs="Arial"/>
                <w:color w:val="auto"/>
                <w:szCs w:val="24"/>
              </w:rPr>
            </w:pPr>
            <w:r>
              <w:rPr>
                <w:rFonts w:ascii="Arial" w:hAnsi="Arial" w:cs="Arial"/>
                <w:color w:val="auto"/>
                <w:szCs w:val="24"/>
              </w:rPr>
              <w:t>Sept 19</w:t>
            </w:r>
            <w:r w:rsidR="004C68C0" w:rsidRPr="001D5C6D">
              <w:rPr>
                <w:rFonts w:ascii="Arial" w:hAnsi="Arial" w:cs="Arial"/>
                <w:color w:val="auto"/>
                <w:szCs w:val="24"/>
              </w:rPr>
              <w:t xml:space="preserve"> </w:t>
            </w:r>
          </w:p>
        </w:tc>
        <w:tc>
          <w:tcPr>
            <w:tcW w:w="1620" w:type="dxa"/>
            <w:tcBorders>
              <w:top w:val="nil"/>
              <w:left w:val="nil"/>
              <w:bottom w:val="nil"/>
              <w:right w:val="nil"/>
            </w:tcBorders>
            <w:vAlign w:val="center"/>
          </w:tcPr>
          <w:p w:rsidR="00135BF0" w:rsidRPr="001D5C6D" w:rsidRDefault="004C68C0">
            <w:pPr>
              <w:spacing w:after="0" w:line="259" w:lineRule="auto"/>
              <w:ind w:left="134" w:firstLine="0"/>
              <w:jc w:val="left"/>
              <w:rPr>
                <w:rFonts w:ascii="Arial" w:hAnsi="Arial" w:cs="Arial"/>
                <w:color w:val="auto"/>
                <w:szCs w:val="24"/>
              </w:rPr>
            </w:pPr>
            <w:r w:rsidRPr="001D5C6D">
              <w:rPr>
                <w:rFonts w:ascii="Arial" w:hAnsi="Arial" w:cs="Arial"/>
                <w:b/>
                <w:color w:val="auto"/>
                <w:szCs w:val="24"/>
              </w:rPr>
              <w:t>Next review:</w:t>
            </w:r>
            <w:r w:rsidRPr="001D5C6D">
              <w:rPr>
                <w:rFonts w:ascii="Arial" w:hAnsi="Arial" w:cs="Arial"/>
                <w:color w:val="auto"/>
                <w:szCs w:val="24"/>
              </w:rPr>
              <w:t xml:space="preserve"> </w:t>
            </w:r>
          </w:p>
        </w:tc>
        <w:tc>
          <w:tcPr>
            <w:tcW w:w="1343" w:type="dxa"/>
            <w:tcBorders>
              <w:top w:val="nil"/>
              <w:left w:val="nil"/>
              <w:bottom w:val="nil"/>
              <w:right w:val="nil"/>
            </w:tcBorders>
            <w:vAlign w:val="center"/>
          </w:tcPr>
          <w:p w:rsidR="00135BF0" w:rsidRPr="001D5C6D" w:rsidRDefault="001F0E5E">
            <w:pPr>
              <w:spacing w:after="0" w:line="259" w:lineRule="auto"/>
              <w:ind w:left="132" w:firstLine="0"/>
              <w:jc w:val="left"/>
              <w:rPr>
                <w:rFonts w:ascii="Arial" w:hAnsi="Arial" w:cs="Arial"/>
                <w:color w:val="auto"/>
                <w:szCs w:val="24"/>
              </w:rPr>
            </w:pPr>
            <w:r>
              <w:rPr>
                <w:rFonts w:ascii="Arial" w:hAnsi="Arial" w:cs="Arial"/>
                <w:color w:val="auto"/>
                <w:szCs w:val="24"/>
              </w:rPr>
              <w:t>Sept 22</w:t>
            </w:r>
          </w:p>
        </w:tc>
      </w:tr>
      <w:tr w:rsidR="00135BF0" w:rsidRPr="001D5C6D" w:rsidTr="003065E6">
        <w:trPr>
          <w:trHeight w:val="308"/>
        </w:trPr>
        <w:tc>
          <w:tcPr>
            <w:tcW w:w="1484" w:type="dxa"/>
            <w:tcBorders>
              <w:top w:val="nil"/>
              <w:left w:val="nil"/>
              <w:bottom w:val="nil"/>
              <w:right w:val="nil"/>
            </w:tcBorders>
            <w:vAlign w:val="bottom"/>
          </w:tcPr>
          <w:p w:rsidR="00135BF0" w:rsidRPr="001D5C6D" w:rsidRDefault="004C68C0">
            <w:pPr>
              <w:spacing w:after="0" w:line="259" w:lineRule="auto"/>
              <w:ind w:left="122" w:firstLine="0"/>
              <w:jc w:val="left"/>
              <w:rPr>
                <w:rFonts w:ascii="Arial" w:hAnsi="Arial" w:cs="Arial"/>
                <w:color w:val="auto"/>
                <w:szCs w:val="24"/>
              </w:rPr>
            </w:pPr>
            <w:r w:rsidRPr="001D5C6D">
              <w:rPr>
                <w:rFonts w:ascii="Arial" w:hAnsi="Arial" w:cs="Arial"/>
                <w:b/>
                <w:color w:val="auto"/>
                <w:szCs w:val="24"/>
              </w:rPr>
              <w:t>Ratified:</w:t>
            </w:r>
            <w:r w:rsidRPr="001D5C6D">
              <w:rPr>
                <w:rFonts w:ascii="Arial" w:hAnsi="Arial" w:cs="Arial"/>
                <w:color w:val="auto"/>
                <w:szCs w:val="24"/>
              </w:rPr>
              <w:t xml:space="preserve"> </w:t>
            </w:r>
          </w:p>
        </w:tc>
        <w:tc>
          <w:tcPr>
            <w:tcW w:w="1236" w:type="dxa"/>
            <w:tcBorders>
              <w:top w:val="nil"/>
              <w:left w:val="nil"/>
              <w:bottom w:val="nil"/>
              <w:right w:val="nil"/>
            </w:tcBorders>
            <w:vAlign w:val="bottom"/>
          </w:tcPr>
          <w:p w:rsidR="00135BF0" w:rsidRPr="001D5C6D" w:rsidRDefault="00135BF0">
            <w:pPr>
              <w:spacing w:after="0" w:line="259" w:lineRule="auto"/>
              <w:ind w:left="0" w:firstLine="0"/>
              <w:jc w:val="left"/>
              <w:rPr>
                <w:rFonts w:ascii="Arial" w:hAnsi="Arial" w:cs="Arial"/>
                <w:color w:val="auto"/>
                <w:szCs w:val="24"/>
              </w:rPr>
            </w:pPr>
          </w:p>
        </w:tc>
        <w:tc>
          <w:tcPr>
            <w:tcW w:w="1620" w:type="dxa"/>
            <w:tcBorders>
              <w:top w:val="nil"/>
              <w:left w:val="nil"/>
              <w:bottom w:val="nil"/>
              <w:right w:val="nil"/>
            </w:tcBorders>
            <w:vAlign w:val="bottom"/>
          </w:tcPr>
          <w:p w:rsidR="00135BF0" w:rsidRPr="001D5C6D" w:rsidRDefault="004C68C0">
            <w:pPr>
              <w:spacing w:after="0" w:line="259" w:lineRule="auto"/>
              <w:ind w:left="0" w:firstLine="0"/>
              <w:jc w:val="left"/>
              <w:rPr>
                <w:rFonts w:ascii="Arial" w:hAnsi="Arial" w:cs="Arial"/>
                <w:color w:val="auto"/>
                <w:szCs w:val="24"/>
              </w:rPr>
            </w:pPr>
            <w:r w:rsidRPr="001D5C6D">
              <w:rPr>
                <w:rFonts w:ascii="Arial" w:hAnsi="Arial" w:cs="Arial"/>
                <w:color w:val="auto"/>
                <w:szCs w:val="24"/>
              </w:rPr>
              <w:t xml:space="preserve"> </w:t>
            </w:r>
          </w:p>
        </w:tc>
        <w:tc>
          <w:tcPr>
            <w:tcW w:w="1343" w:type="dxa"/>
            <w:tcBorders>
              <w:top w:val="nil"/>
              <w:left w:val="nil"/>
              <w:bottom w:val="nil"/>
              <w:right w:val="nil"/>
            </w:tcBorders>
            <w:vAlign w:val="bottom"/>
          </w:tcPr>
          <w:p w:rsidR="00135BF0" w:rsidRPr="001D5C6D" w:rsidRDefault="004C68C0">
            <w:pPr>
              <w:spacing w:after="0" w:line="259" w:lineRule="auto"/>
              <w:ind w:left="0" w:firstLine="0"/>
              <w:jc w:val="left"/>
              <w:rPr>
                <w:rFonts w:ascii="Arial" w:hAnsi="Arial" w:cs="Arial"/>
                <w:color w:val="auto"/>
                <w:szCs w:val="24"/>
              </w:rPr>
            </w:pPr>
            <w:r w:rsidRPr="001D5C6D">
              <w:rPr>
                <w:rFonts w:ascii="Arial" w:hAnsi="Arial" w:cs="Arial"/>
                <w:color w:val="auto"/>
                <w:szCs w:val="24"/>
              </w:rPr>
              <w:t xml:space="preserve"> </w:t>
            </w:r>
          </w:p>
        </w:tc>
      </w:tr>
    </w:tbl>
    <w:p w:rsidR="00135BF0" w:rsidRPr="001D5C6D" w:rsidRDefault="00135BF0">
      <w:pPr>
        <w:spacing w:line="259" w:lineRule="auto"/>
        <w:ind w:left="101" w:firstLine="0"/>
        <w:jc w:val="left"/>
        <w:rPr>
          <w:rFonts w:ascii="Arial" w:hAnsi="Arial" w:cs="Arial"/>
          <w:color w:val="auto"/>
          <w:szCs w:val="24"/>
        </w:rPr>
      </w:pPr>
    </w:p>
    <w:p w:rsidR="0075344C" w:rsidRDefault="004C68C0" w:rsidP="00DD650E">
      <w:pPr>
        <w:spacing w:after="0" w:line="259" w:lineRule="auto"/>
        <w:ind w:left="0" w:firstLine="0"/>
        <w:jc w:val="left"/>
        <w:rPr>
          <w:rFonts w:ascii="Arial" w:eastAsia="Times New Roman" w:hAnsi="Arial" w:cs="Arial"/>
          <w:color w:val="auto"/>
          <w:szCs w:val="24"/>
        </w:rPr>
      </w:pPr>
      <w:r w:rsidRPr="001D5C6D">
        <w:rPr>
          <w:rFonts w:ascii="Arial" w:eastAsia="Times New Roman" w:hAnsi="Arial" w:cs="Arial"/>
          <w:color w:val="auto"/>
          <w:szCs w:val="24"/>
        </w:rPr>
        <w:t xml:space="preserve"> </w:t>
      </w:r>
    </w:p>
    <w:p w:rsidR="0075344C" w:rsidRDefault="0075344C">
      <w:pPr>
        <w:spacing w:after="160" w:line="259" w:lineRule="auto"/>
        <w:ind w:left="0" w:firstLine="0"/>
        <w:jc w:val="left"/>
        <w:rPr>
          <w:rFonts w:ascii="Arial" w:eastAsia="Times New Roman" w:hAnsi="Arial" w:cs="Arial"/>
          <w:color w:val="auto"/>
          <w:szCs w:val="24"/>
        </w:rPr>
      </w:pPr>
      <w:r>
        <w:rPr>
          <w:rFonts w:ascii="Arial" w:eastAsia="Times New Roman" w:hAnsi="Arial" w:cs="Arial"/>
          <w:color w:val="auto"/>
          <w:szCs w:val="24"/>
        </w:rPr>
        <w:br w:type="page"/>
      </w:r>
    </w:p>
    <w:p w:rsidR="00135BF0" w:rsidRPr="001D5C6D" w:rsidRDefault="00135BF0" w:rsidP="00DD650E">
      <w:pPr>
        <w:spacing w:after="0" w:line="259" w:lineRule="auto"/>
        <w:ind w:left="0" w:firstLine="0"/>
        <w:jc w:val="left"/>
        <w:rPr>
          <w:rFonts w:ascii="Arial" w:hAnsi="Arial" w:cs="Arial"/>
          <w:color w:val="auto"/>
          <w:szCs w:val="24"/>
        </w:rPr>
      </w:pPr>
    </w:p>
    <w:p w:rsidR="00135BF0" w:rsidRPr="00F432BF" w:rsidRDefault="004C68C0">
      <w:pPr>
        <w:pStyle w:val="Heading1"/>
        <w:rPr>
          <w:rFonts w:ascii="Arial" w:hAnsi="Arial" w:cs="Arial"/>
          <w:color w:val="auto"/>
          <w:sz w:val="24"/>
          <w:szCs w:val="24"/>
        </w:rPr>
      </w:pPr>
      <w:r w:rsidRPr="00F432BF">
        <w:rPr>
          <w:rFonts w:ascii="Arial" w:hAnsi="Arial" w:cs="Arial"/>
          <w:color w:val="auto"/>
          <w:sz w:val="24"/>
          <w:szCs w:val="24"/>
        </w:rPr>
        <w:t xml:space="preserve">Contents </w:t>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Definition</w:t>
      </w:r>
      <w:r w:rsidRPr="00F432B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Pr="00F432BF">
        <w:rPr>
          <w:rFonts w:ascii="Arial" w:hAnsi="Arial" w:cs="Arial"/>
        </w:rPr>
        <w:tab/>
      </w:r>
      <w:r w:rsidRPr="00F432BF">
        <w:rPr>
          <w:rFonts w:ascii="Arial" w:hAnsi="Arial" w:cs="Arial"/>
        </w:rPr>
        <w:tab/>
      </w:r>
      <w:r w:rsidRPr="00F432BF">
        <w:rPr>
          <w:rFonts w:ascii="Arial" w:hAnsi="Arial" w:cs="Arial"/>
        </w:rPr>
        <w:tab/>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Principles Supporting the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Legislation</w:t>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t>4</w:t>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The Procedure</w:t>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t>4</w:t>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Malicious Accusations</w:t>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t>5</w:t>
      </w:r>
      <w:r w:rsidR="003065E6">
        <w:rPr>
          <w:rFonts w:ascii="Arial" w:hAnsi="Arial" w:cs="Arial"/>
        </w:rPr>
        <w:tab/>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External Sources</w:t>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t>5</w:t>
      </w:r>
    </w:p>
    <w:p w:rsidR="00F432BF" w:rsidRPr="00F432BF" w:rsidRDefault="00F432BF" w:rsidP="00F432BF">
      <w:pPr>
        <w:rPr>
          <w:rFonts w:ascii="Arial" w:hAnsi="Arial" w:cs="Arial"/>
        </w:rPr>
      </w:pPr>
    </w:p>
    <w:p w:rsidR="00F432BF" w:rsidRPr="00F432BF" w:rsidRDefault="00F432BF" w:rsidP="00F432BF">
      <w:pPr>
        <w:rPr>
          <w:rFonts w:ascii="Arial" w:hAnsi="Arial" w:cs="Arial"/>
        </w:rPr>
      </w:pPr>
      <w:r w:rsidRPr="00F432BF">
        <w:rPr>
          <w:rFonts w:ascii="Arial" w:hAnsi="Arial" w:cs="Arial"/>
        </w:rPr>
        <w:t>Monitoring, Evaluation and Review</w:t>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r>
      <w:r w:rsidR="003065E6">
        <w:rPr>
          <w:rFonts w:ascii="Arial" w:hAnsi="Arial" w:cs="Arial"/>
        </w:rPr>
        <w:tab/>
        <w:t>6</w:t>
      </w:r>
    </w:p>
    <w:p w:rsidR="00135BF0" w:rsidRPr="00F432BF" w:rsidRDefault="00135BF0" w:rsidP="00DD650E">
      <w:pPr>
        <w:spacing w:after="93" w:line="259" w:lineRule="auto"/>
        <w:ind w:left="0" w:firstLine="0"/>
        <w:jc w:val="left"/>
        <w:rPr>
          <w:rFonts w:ascii="Arial" w:hAnsi="Arial" w:cs="Arial"/>
          <w:color w:val="auto"/>
          <w:szCs w:val="24"/>
        </w:rPr>
      </w:pPr>
    </w:p>
    <w:p w:rsidR="00135BF0" w:rsidRPr="001D5C6D" w:rsidRDefault="00135BF0">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DD650E" w:rsidRPr="001D5C6D" w:rsidRDefault="00DD650E">
      <w:pPr>
        <w:spacing w:after="0" w:line="259" w:lineRule="auto"/>
        <w:ind w:left="0" w:firstLine="0"/>
        <w:jc w:val="left"/>
        <w:rPr>
          <w:rFonts w:ascii="Arial" w:hAnsi="Arial" w:cs="Arial"/>
          <w:color w:val="auto"/>
          <w:szCs w:val="24"/>
        </w:rPr>
      </w:pPr>
    </w:p>
    <w:p w:rsidR="00135BF0" w:rsidRPr="001D5C6D" w:rsidRDefault="00135BF0">
      <w:pPr>
        <w:spacing w:after="61" w:line="259" w:lineRule="auto"/>
        <w:ind w:left="0" w:firstLine="0"/>
        <w:jc w:val="left"/>
        <w:rPr>
          <w:rFonts w:ascii="Arial" w:hAnsi="Arial" w:cs="Arial"/>
          <w:color w:val="auto"/>
          <w:szCs w:val="24"/>
        </w:rPr>
      </w:pPr>
    </w:p>
    <w:p w:rsidR="001D5C6D" w:rsidRDefault="001D5C6D">
      <w:pPr>
        <w:spacing w:after="160" w:line="259" w:lineRule="auto"/>
        <w:ind w:left="0" w:firstLine="0"/>
        <w:jc w:val="left"/>
        <w:rPr>
          <w:rFonts w:ascii="Arial" w:hAnsi="Arial" w:cs="Arial"/>
          <w:color w:val="auto"/>
          <w:szCs w:val="24"/>
        </w:rPr>
      </w:pPr>
      <w:r>
        <w:rPr>
          <w:rFonts w:ascii="Arial" w:hAnsi="Arial" w:cs="Arial"/>
          <w:color w:val="auto"/>
          <w:szCs w:val="24"/>
        </w:rPr>
        <w:br w:type="page"/>
      </w:r>
    </w:p>
    <w:p w:rsidR="00DD650E" w:rsidRPr="001D5C6D" w:rsidRDefault="00DD650E">
      <w:pPr>
        <w:spacing w:after="61" w:line="259" w:lineRule="auto"/>
        <w:ind w:left="0" w:firstLine="0"/>
        <w:jc w:val="left"/>
        <w:rPr>
          <w:rFonts w:ascii="Arial" w:hAnsi="Arial" w:cs="Arial"/>
          <w:color w:val="auto"/>
          <w:szCs w:val="24"/>
        </w:rPr>
      </w:pPr>
    </w:p>
    <w:p w:rsidR="00135BF0" w:rsidRPr="001D5C6D" w:rsidRDefault="004C68C0" w:rsidP="001D5C6D">
      <w:pPr>
        <w:numPr>
          <w:ilvl w:val="0"/>
          <w:numId w:val="1"/>
        </w:numPr>
        <w:spacing w:after="0" w:line="259" w:lineRule="auto"/>
        <w:ind w:left="721" w:hanging="579"/>
        <w:jc w:val="left"/>
        <w:rPr>
          <w:rFonts w:ascii="Arial" w:hAnsi="Arial" w:cs="Arial"/>
          <w:b/>
          <w:color w:val="auto"/>
          <w:szCs w:val="24"/>
        </w:rPr>
      </w:pPr>
      <w:r w:rsidRPr="001D5C6D">
        <w:rPr>
          <w:rFonts w:ascii="Arial" w:hAnsi="Arial" w:cs="Arial"/>
          <w:b/>
          <w:color w:val="auto"/>
          <w:szCs w:val="24"/>
        </w:rPr>
        <w:t xml:space="preserve">Introduction </w:t>
      </w:r>
    </w:p>
    <w:p w:rsidR="00135BF0" w:rsidRPr="001D5C6D" w:rsidRDefault="004C68C0" w:rsidP="001D5C6D">
      <w:pPr>
        <w:spacing w:after="23"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There is a balance to be struck between the right of the individual member of staff to speak freely on a range of matters and the right of the Academy and/or colleagues to be protected against false and malicious accusations. </w:t>
      </w:r>
    </w:p>
    <w:p w:rsidR="00135BF0" w:rsidRPr="001D5C6D" w:rsidRDefault="004C68C0" w:rsidP="001D5C6D">
      <w:pPr>
        <w:spacing w:after="0"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A whistle blowing procedure is about the ways in which concerns about malpractice may properly be raised within the Academy and if necessary outside the Academy. </w:t>
      </w:r>
    </w:p>
    <w:p w:rsidR="00135BF0" w:rsidRPr="001D5C6D" w:rsidRDefault="004C68C0" w:rsidP="001D5C6D">
      <w:pPr>
        <w:spacing w:after="56"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0"/>
          <w:numId w:val="1"/>
        </w:numPr>
        <w:spacing w:after="0" w:line="259" w:lineRule="auto"/>
        <w:ind w:left="721" w:hanging="579"/>
        <w:jc w:val="left"/>
        <w:rPr>
          <w:rFonts w:ascii="Arial" w:hAnsi="Arial" w:cs="Arial"/>
          <w:b/>
          <w:color w:val="auto"/>
          <w:szCs w:val="24"/>
        </w:rPr>
      </w:pPr>
      <w:r w:rsidRPr="001D5C6D">
        <w:rPr>
          <w:rFonts w:ascii="Arial" w:hAnsi="Arial" w:cs="Arial"/>
          <w:b/>
          <w:color w:val="auto"/>
          <w:szCs w:val="24"/>
        </w:rPr>
        <w:t xml:space="preserve">Definition </w:t>
      </w:r>
    </w:p>
    <w:p w:rsidR="00135BF0" w:rsidRPr="001D5C6D" w:rsidRDefault="004C68C0" w:rsidP="001D5C6D">
      <w:pPr>
        <w:spacing w:after="22"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Whistle blowing inside the work place is the reporting by worker</w:t>
      </w:r>
      <w:r w:rsidR="00DD650E" w:rsidRPr="001D5C6D">
        <w:rPr>
          <w:rFonts w:ascii="Arial" w:hAnsi="Arial" w:cs="Arial"/>
          <w:color w:val="auto"/>
          <w:szCs w:val="24"/>
        </w:rPr>
        <w:t>s or ex-workers, of information about</w:t>
      </w:r>
      <w:r w:rsidRPr="001D5C6D">
        <w:rPr>
          <w:rFonts w:ascii="Arial" w:hAnsi="Arial" w:cs="Arial"/>
          <w:color w:val="auto"/>
          <w:szCs w:val="24"/>
        </w:rPr>
        <w:t xml:space="preserve"> alleged wrongdoing such as; </w:t>
      </w:r>
    </w:p>
    <w:p w:rsidR="00135BF0" w:rsidRPr="001D5C6D" w:rsidRDefault="004C68C0" w:rsidP="001D5C6D">
      <w:pPr>
        <w:spacing w:after="24"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353D9B" w:rsidRDefault="004C68C0" w:rsidP="00353D9B">
      <w:pPr>
        <w:pStyle w:val="ListParagraph"/>
        <w:numPr>
          <w:ilvl w:val="0"/>
          <w:numId w:val="7"/>
        </w:numPr>
        <w:spacing w:after="0" w:line="278" w:lineRule="auto"/>
        <w:jc w:val="left"/>
        <w:rPr>
          <w:rFonts w:ascii="Arial" w:hAnsi="Arial" w:cs="Arial"/>
          <w:color w:val="auto"/>
          <w:szCs w:val="24"/>
        </w:rPr>
      </w:pPr>
      <w:r w:rsidRPr="00353D9B">
        <w:rPr>
          <w:rFonts w:ascii="Arial" w:hAnsi="Arial" w:cs="Arial"/>
          <w:color w:val="auto"/>
          <w:szCs w:val="24"/>
        </w:rPr>
        <w:t xml:space="preserve">Criminal offences </w:t>
      </w:r>
      <w:r w:rsidRPr="00353D9B">
        <w:rPr>
          <w:rFonts w:ascii="Arial" w:eastAsia="Courier New" w:hAnsi="Arial" w:cs="Arial"/>
          <w:color w:val="auto"/>
          <w:szCs w:val="24"/>
        </w:rPr>
        <w:t>o</w:t>
      </w:r>
      <w:r w:rsidR="001D5C6D" w:rsidRPr="00353D9B">
        <w:rPr>
          <w:rFonts w:ascii="Arial" w:eastAsia="Courier New" w:hAnsi="Arial" w:cs="Arial"/>
          <w:color w:val="auto"/>
          <w:szCs w:val="24"/>
        </w:rPr>
        <w:t>r</w:t>
      </w:r>
      <w:r w:rsidRPr="00353D9B">
        <w:rPr>
          <w:rFonts w:ascii="Arial" w:eastAsia="Arial" w:hAnsi="Arial" w:cs="Arial"/>
          <w:color w:val="auto"/>
          <w:szCs w:val="24"/>
        </w:rPr>
        <w:t xml:space="preserve"> </w:t>
      </w:r>
      <w:r w:rsidR="001D5C6D" w:rsidRPr="00353D9B">
        <w:rPr>
          <w:rFonts w:ascii="Arial" w:hAnsi="Arial" w:cs="Arial"/>
          <w:color w:val="auto"/>
          <w:szCs w:val="24"/>
        </w:rPr>
        <w:t xml:space="preserve">Breach of any legal obligation </w:t>
      </w:r>
      <w:r w:rsidRPr="00353D9B">
        <w:rPr>
          <w:rFonts w:ascii="Arial" w:eastAsia="Courier New" w:hAnsi="Arial" w:cs="Arial"/>
          <w:color w:val="auto"/>
          <w:szCs w:val="24"/>
        </w:rPr>
        <w:t>o</w:t>
      </w:r>
      <w:r w:rsidR="001D5C6D" w:rsidRPr="00353D9B">
        <w:rPr>
          <w:rFonts w:ascii="Arial" w:eastAsia="Courier New" w:hAnsi="Arial" w:cs="Arial"/>
          <w:color w:val="auto"/>
          <w:szCs w:val="24"/>
        </w:rPr>
        <w:t>r</w:t>
      </w:r>
      <w:r w:rsidRPr="00353D9B">
        <w:rPr>
          <w:rFonts w:ascii="Arial" w:eastAsia="Arial" w:hAnsi="Arial" w:cs="Arial"/>
          <w:color w:val="auto"/>
          <w:szCs w:val="24"/>
        </w:rPr>
        <w:t xml:space="preserve"> </w:t>
      </w:r>
      <w:r w:rsidRPr="00353D9B">
        <w:rPr>
          <w:rFonts w:ascii="Arial" w:hAnsi="Arial" w:cs="Arial"/>
          <w:color w:val="auto"/>
          <w:szCs w:val="24"/>
        </w:rPr>
        <w:t xml:space="preserve">Miscarriages of justice  </w:t>
      </w:r>
    </w:p>
    <w:p w:rsidR="00135BF0" w:rsidRPr="00353D9B" w:rsidRDefault="004C68C0" w:rsidP="00353D9B">
      <w:pPr>
        <w:pStyle w:val="ListParagraph"/>
        <w:numPr>
          <w:ilvl w:val="0"/>
          <w:numId w:val="7"/>
        </w:numPr>
        <w:spacing w:after="32"/>
        <w:jc w:val="left"/>
        <w:rPr>
          <w:rFonts w:ascii="Arial" w:hAnsi="Arial" w:cs="Arial"/>
          <w:color w:val="auto"/>
          <w:szCs w:val="24"/>
        </w:rPr>
      </w:pPr>
      <w:r w:rsidRPr="00353D9B">
        <w:rPr>
          <w:rFonts w:ascii="Arial" w:hAnsi="Arial" w:cs="Arial"/>
          <w:color w:val="auto"/>
          <w:szCs w:val="24"/>
        </w:rPr>
        <w:t xml:space="preserve">Danger to the health and safety of any individual </w:t>
      </w:r>
    </w:p>
    <w:p w:rsidR="00135BF0" w:rsidRPr="00353D9B" w:rsidRDefault="004C68C0" w:rsidP="00353D9B">
      <w:pPr>
        <w:pStyle w:val="ListParagraph"/>
        <w:numPr>
          <w:ilvl w:val="0"/>
          <w:numId w:val="7"/>
        </w:numPr>
        <w:spacing w:after="31"/>
        <w:jc w:val="left"/>
        <w:rPr>
          <w:rFonts w:ascii="Arial" w:hAnsi="Arial" w:cs="Arial"/>
          <w:color w:val="auto"/>
          <w:szCs w:val="24"/>
        </w:rPr>
      </w:pPr>
      <w:r w:rsidRPr="00353D9B">
        <w:rPr>
          <w:rFonts w:ascii="Arial" w:hAnsi="Arial" w:cs="Arial"/>
          <w:color w:val="auto"/>
          <w:szCs w:val="24"/>
        </w:rPr>
        <w:t xml:space="preserve">Damage to the environment  </w:t>
      </w:r>
    </w:p>
    <w:p w:rsidR="00135BF0" w:rsidRPr="00353D9B" w:rsidRDefault="004C68C0" w:rsidP="00353D9B">
      <w:pPr>
        <w:pStyle w:val="ListParagraph"/>
        <w:numPr>
          <w:ilvl w:val="0"/>
          <w:numId w:val="7"/>
        </w:numPr>
        <w:jc w:val="left"/>
        <w:rPr>
          <w:rFonts w:ascii="Arial" w:hAnsi="Arial" w:cs="Arial"/>
          <w:color w:val="auto"/>
          <w:szCs w:val="24"/>
        </w:rPr>
      </w:pPr>
      <w:r w:rsidRPr="00353D9B">
        <w:rPr>
          <w:rFonts w:ascii="Arial" w:hAnsi="Arial" w:cs="Arial"/>
          <w:color w:val="auto"/>
          <w:szCs w:val="24"/>
        </w:rPr>
        <w:t xml:space="preserve">The deliberate concealing of information about any of the above </w:t>
      </w:r>
    </w:p>
    <w:p w:rsidR="00135BF0" w:rsidRPr="001D5C6D" w:rsidRDefault="004C68C0" w:rsidP="001D5C6D">
      <w:pPr>
        <w:spacing w:after="13"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Workers can use this policy if they have a reasonable belief that the information disclosed is evidence of </w:t>
      </w:r>
      <w:r w:rsidR="00DD650E" w:rsidRPr="001D5C6D">
        <w:rPr>
          <w:rFonts w:ascii="Arial" w:hAnsi="Arial" w:cs="Arial"/>
          <w:color w:val="auto"/>
          <w:szCs w:val="24"/>
        </w:rPr>
        <w:t>wrongdoing</w:t>
      </w:r>
      <w:r w:rsidRPr="001D5C6D">
        <w:rPr>
          <w:rFonts w:ascii="Arial" w:hAnsi="Arial" w:cs="Arial"/>
          <w:color w:val="auto"/>
          <w:szCs w:val="24"/>
        </w:rPr>
        <w:t xml:space="preserve">, and that such a disclosure is in the public interest. </w:t>
      </w:r>
    </w:p>
    <w:p w:rsidR="00135BF0" w:rsidRPr="001D5C6D" w:rsidRDefault="004C68C0" w:rsidP="001D5C6D">
      <w:pPr>
        <w:spacing w:after="13"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This policy should not be used for individual or collective grievances or where there are no reasonable grounds for the belief in the alleged wrongdoing</w:t>
      </w:r>
      <w:r w:rsidRPr="001D5C6D">
        <w:rPr>
          <w:rFonts w:ascii="Arial" w:hAnsi="Arial" w:cs="Arial"/>
          <w:b/>
          <w:color w:val="auto"/>
          <w:szCs w:val="24"/>
        </w:rPr>
        <w:t xml:space="preserve"> </w:t>
      </w:r>
      <w:r w:rsidRPr="001D5C6D">
        <w:rPr>
          <w:rFonts w:ascii="Arial" w:hAnsi="Arial" w:cs="Arial"/>
          <w:color w:val="auto"/>
          <w:szCs w:val="24"/>
        </w:rPr>
        <w:t xml:space="preserve"> </w:t>
      </w:r>
    </w:p>
    <w:p w:rsidR="00135BF0" w:rsidRPr="001D5C6D" w:rsidRDefault="004C68C0" w:rsidP="001D5C6D">
      <w:pPr>
        <w:spacing w:after="13"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Nothing within this policy is intended to prevent staff from complying with their statutory obligations in accordance with </w:t>
      </w:r>
      <w:r w:rsidRPr="001D5C6D">
        <w:rPr>
          <w:rFonts w:ascii="Arial" w:hAnsi="Arial" w:cs="Arial"/>
          <w:i/>
          <w:color w:val="auto"/>
          <w:szCs w:val="24"/>
        </w:rPr>
        <w:t>Keeping Children Safe in Education</w:t>
      </w:r>
      <w:r w:rsidRPr="001D5C6D">
        <w:rPr>
          <w:rFonts w:ascii="Arial" w:hAnsi="Arial" w:cs="Arial"/>
          <w:color w:val="auto"/>
          <w:szCs w:val="24"/>
        </w:rPr>
        <w:t xml:space="preserve"> (DfE, September 2018) and the Safeguarding Policy.  If a child is in immediate danger or is at risk of harm a referral should be made to Children's Social Care and / or the police immediately.  Anyone can make a referral. </w:t>
      </w:r>
    </w:p>
    <w:p w:rsidR="00135BF0" w:rsidRPr="001D5C6D" w:rsidRDefault="004C68C0" w:rsidP="001D5C6D">
      <w:pPr>
        <w:spacing w:after="58"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1D5C6D">
      <w:pPr>
        <w:numPr>
          <w:ilvl w:val="0"/>
          <w:numId w:val="1"/>
        </w:numPr>
        <w:spacing w:after="0" w:line="259" w:lineRule="auto"/>
        <w:ind w:left="721" w:hanging="579"/>
        <w:jc w:val="left"/>
        <w:rPr>
          <w:rFonts w:ascii="Arial" w:hAnsi="Arial" w:cs="Arial"/>
          <w:b/>
          <w:color w:val="auto"/>
          <w:szCs w:val="24"/>
        </w:rPr>
      </w:pPr>
      <w:r w:rsidRPr="00353D9B">
        <w:rPr>
          <w:rFonts w:ascii="Arial" w:hAnsi="Arial" w:cs="Arial"/>
          <w:b/>
          <w:color w:val="auto"/>
          <w:szCs w:val="24"/>
        </w:rPr>
        <w:t xml:space="preserve">Principles supporting the Procedure </w:t>
      </w:r>
    </w:p>
    <w:p w:rsidR="00135BF0" w:rsidRPr="001D5C6D" w:rsidRDefault="004C68C0" w:rsidP="001D5C6D">
      <w:pPr>
        <w:spacing w:after="22"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t xml:space="preserve">Creation of an ethical, open culture:  </w:t>
      </w:r>
    </w:p>
    <w:p w:rsidR="00135BF0" w:rsidRPr="00353D9B" w:rsidRDefault="004C68C0" w:rsidP="001D5C6D">
      <w:pPr>
        <w:ind w:left="703"/>
        <w:jc w:val="left"/>
        <w:rPr>
          <w:rFonts w:ascii="Arial" w:hAnsi="Arial" w:cs="Arial"/>
          <w:color w:val="auto"/>
          <w:szCs w:val="24"/>
        </w:rPr>
      </w:pPr>
      <w:r w:rsidRPr="00353D9B">
        <w:rPr>
          <w:rFonts w:ascii="Arial" w:hAnsi="Arial" w:cs="Arial"/>
          <w:color w:val="auto"/>
          <w:szCs w:val="24"/>
        </w:rPr>
        <w:t xml:space="preserve">Communicate a code of conduct and ethics, through this policy. </w:t>
      </w:r>
    </w:p>
    <w:p w:rsidR="00135BF0" w:rsidRPr="00353D9B" w:rsidRDefault="004C68C0" w:rsidP="001D5C6D">
      <w:pPr>
        <w:spacing w:after="23" w:line="259" w:lineRule="auto"/>
        <w:ind w:left="142" w:firstLine="0"/>
        <w:jc w:val="left"/>
        <w:rPr>
          <w:rFonts w:ascii="Arial" w:hAnsi="Arial" w:cs="Arial"/>
          <w:color w:val="auto"/>
          <w:szCs w:val="24"/>
        </w:rPr>
      </w:pPr>
      <w:r w:rsidRPr="00353D9B">
        <w:rPr>
          <w:rFonts w:ascii="Arial" w:hAnsi="Arial" w:cs="Arial"/>
          <w:color w:val="auto"/>
          <w:szCs w:val="24"/>
        </w:rPr>
        <w:t xml:space="preserve"> </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t xml:space="preserve">Establish safe routes for communications of concerns: </w:t>
      </w:r>
    </w:p>
    <w:p w:rsidR="00135BF0" w:rsidRPr="00353D9B" w:rsidRDefault="004C68C0" w:rsidP="001D5C6D">
      <w:pPr>
        <w:ind w:left="703"/>
        <w:jc w:val="left"/>
        <w:rPr>
          <w:rFonts w:ascii="Arial" w:hAnsi="Arial" w:cs="Arial"/>
          <w:color w:val="auto"/>
          <w:szCs w:val="24"/>
        </w:rPr>
      </w:pPr>
      <w:r w:rsidRPr="00353D9B">
        <w:rPr>
          <w:rFonts w:ascii="Arial" w:hAnsi="Arial" w:cs="Arial"/>
          <w:color w:val="auto"/>
          <w:szCs w:val="24"/>
        </w:rPr>
        <w:t xml:space="preserve">Where appropriate, appoint individuals or a group outside the normal line of management to receive complaints of irregularities or other concerns.  </w:t>
      </w:r>
    </w:p>
    <w:p w:rsidR="00135BF0" w:rsidRPr="00353D9B" w:rsidRDefault="004C68C0" w:rsidP="001D5C6D">
      <w:pPr>
        <w:spacing w:after="15" w:line="259" w:lineRule="auto"/>
        <w:ind w:left="708" w:firstLine="0"/>
        <w:jc w:val="left"/>
        <w:rPr>
          <w:rFonts w:ascii="Arial" w:hAnsi="Arial" w:cs="Arial"/>
          <w:color w:val="auto"/>
          <w:szCs w:val="24"/>
        </w:rPr>
      </w:pPr>
      <w:r w:rsidRPr="00353D9B">
        <w:rPr>
          <w:rFonts w:ascii="Arial" w:hAnsi="Arial" w:cs="Arial"/>
          <w:color w:val="auto"/>
          <w:szCs w:val="24"/>
        </w:rPr>
        <w:t xml:space="preserve"> </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t xml:space="preserve">Protect the whistle blower: </w:t>
      </w:r>
    </w:p>
    <w:p w:rsidR="00135BF0" w:rsidRPr="00353D9B" w:rsidRDefault="004C68C0" w:rsidP="001D5C6D">
      <w:pPr>
        <w:ind w:left="703"/>
        <w:jc w:val="left"/>
        <w:rPr>
          <w:rFonts w:ascii="Arial" w:hAnsi="Arial" w:cs="Arial"/>
          <w:color w:val="auto"/>
          <w:szCs w:val="24"/>
        </w:rPr>
      </w:pPr>
      <w:r w:rsidRPr="00353D9B">
        <w:rPr>
          <w:rFonts w:ascii="Arial" w:eastAsia="Times New Roman" w:hAnsi="Arial" w:cs="Arial"/>
          <w:color w:val="auto"/>
          <w:szCs w:val="24"/>
        </w:rPr>
        <w:t xml:space="preserve">The </w:t>
      </w:r>
      <w:r w:rsidRPr="00353D9B">
        <w:rPr>
          <w:rFonts w:ascii="Arial" w:hAnsi="Arial" w:cs="Arial"/>
          <w:color w:val="auto"/>
          <w:szCs w:val="24"/>
        </w:rPr>
        <w:t xml:space="preserve">Academy will support and not discriminate against concerned employees. </w:t>
      </w:r>
    </w:p>
    <w:p w:rsidR="00135BF0" w:rsidRPr="00353D9B" w:rsidRDefault="004C68C0" w:rsidP="001D5C6D">
      <w:pPr>
        <w:spacing w:after="23" w:line="259" w:lineRule="auto"/>
        <w:ind w:left="142" w:firstLine="0"/>
        <w:jc w:val="left"/>
        <w:rPr>
          <w:rFonts w:ascii="Arial" w:hAnsi="Arial" w:cs="Arial"/>
          <w:color w:val="auto"/>
          <w:szCs w:val="24"/>
        </w:rPr>
      </w:pPr>
      <w:r w:rsidRPr="00353D9B">
        <w:rPr>
          <w:rFonts w:ascii="Arial" w:hAnsi="Arial" w:cs="Arial"/>
          <w:color w:val="auto"/>
          <w:szCs w:val="24"/>
        </w:rPr>
        <w:t xml:space="preserve"> </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t xml:space="preserve">Establish a fair and impartial investigative procedure: </w:t>
      </w:r>
    </w:p>
    <w:p w:rsidR="00135BF0" w:rsidRPr="001D5C6D" w:rsidRDefault="004C68C0" w:rsidP="001D5C6D">
      <w:pPr>
        <w:ind w:left="703"/>
        <w:jc w:val="left"/>
        <w:rPr>
          <w:rFonts w:ascii="Arial" w:hAnsi="Arial" w:cs="Arial"/>
          <w:color w:val="auto"/>
          <w:szCs w:val="24"/>
        </w:rPr>
        <w:sectPr w:rsidR="00135BF0" w:rsidRPr="001D5C6D" w:rsidSect="00045F65">
          <w:headerReference w:type="even" r:id="rId8"/>
          <w:headerReference w:type="default" r:id="rId9"/>
          <w:footerReference w:type="even" r:id="rId10"/>
          <w:footerReference w:type="default" r:id="rId11"/>
          <w:headerReference w:type="first" r:id="rId12"/>
          <w:footerReference w:type="first" r:id="rId13"/>
          <w:pgSz w:w="11911" w:h="16841"/>
          <w:pgMar w:top="496" w:right="877" w:bottom="490" w:left="780" w:header="720" w:footer="720" w:gutter="0"/>
          <w:cols w:space="720"/>
          <w:docGrid w:linePitch="326"/>
        </w:sectPr>
      </w:pPr>
      <w:r w:rsidRPr="001D5C6D">
        <w:rPr>
          <w:rFonts w:ascii="Arial" w:hAnsi="Arial" w:cs="Arial"/>
          <w:color w:val="auto"/>
          <w:szCs w:val="24"/>
        </w:rPr>
        <w:t xml:space="preserve">The Academy responds to concerns by focusing on the problem, rather </w:t>
      </w:r>
      <w:r w:rsidR="00DD650E" w:rsidRPr="001D5C6D">
        <w:rPr>
          <w:rFonts w:ascii="Arial" w:hAnsi="Arial" w:cs="Arial"/>
          <w:color w:val="auto"/>
          <w:szCs w:val="24"/>
        </w:rPr>
        <w:t>than denigrating the messenger.</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lastRenderedPageBreak/>
        <w:t xml:space="preserve">Remind staff of their duty of confidentiality: </w:t>
      </w:r>
    </w:p>
    <w:p w:rsidR="00135BF0" w:rsidRPr="00353D9B" w:rsidRDefault="004C68C0" w:rsidP="001D5C6D">
      <w:pPr>
        <w:ind w:left="703"/>
        <w:jc w:val="left"/>
        <w:rPr>
          <w:rFonts w:ascii="Arial" w:hAnsi="Arial" w:cs="Arial"/>
          <w:color w:val="auto"/>
          <w:szCs w:val="24"/>
        </w:rPr>
      </w:pPr>
      <w:r w:rsidRPr="00353D9B">
        <w:rPr>
          <w:rFonts w:ascii="Arial" w:hAnsi="Arial" w:cs="Arial"/>
          <w:color w:val="auto"/>
          <w:szCs w:val="24"/>
        </w:rPr>
        <w:t xml:space="preserve">The duty of confidentiality is implied by the law in every contract of employment and prohibits employees from publicly disclosing employers’ confidential information,  </w:t>
      </w:r>
    </w:p>
    <w:p w:rsidR="00135BF0" w:rsidRPr="00353D9B" w:rsidRDefault="004C68C0" w:rsidP="001D5C6D">
      <w:pPr>
        <w:spacing w:after="0" w:line="259" w:lineRule="auto"/>
        <w:ind w:left="708" w:firstLine="0"/>
        <w:jc w:val="left"/>
        <w:rPr>
          <w:rFonts w:ascii="Arial" w:hAnsi="Arial" w:cs="Arial"/>
          <w:color w:val="auto"/>
          <w:szCs w:val="24"/>
        </w:rPr>
      </w:pPr>
      <w:r w:rsidRPr="00353D9B">
        <w:rPr>
          <w:rFonts w:ascii="Arial" w:hAnsi="Arial" w:cs="Arial"/>
          <w:color w:val="auto"/>
          <w:szCs w:val="24"/>
        </w:rPr>
        <w:t xml:space="preserve"> </w:t>
      </w:r>
    </w:p>
    <w:p w:rsidR="00135BF0" w:rsidRPr="00353D9B" w:rsidRDefault="004C68C0" w:rsidP="001D5C6D">
      <w:pPr>
        <w:ind w:left="703"/>
        <w:jc w:val="left"/>
        <w:rPr>
          <w:rFonts w:ascii="Arial" w:hAnsi="Arial" w:cs="Arial"/>
          <w:color w:val="auto"/>
          <w:szCs w:val="24"/>
        </w:rPr>
      </w:pPr>
      <w:r w:rsidRPr="00353D9B">
        <w:rPr>
          <w:rFonts w:ascii="Arial" w:hAnsi="Arial" w:cs="Arial"/>
          <w:color w:val="auto"/>
          <w:szCs w:val="24"/>
        </w:rPr>
        <w:t xml:space="preserve">The Academy expects that its contractors and other agency workers will consider themselves under a similar duty.   </w:t>
      </w:r>
    </w:p>
    <w:p w:rsidR="00135BF0" w:rsidRPr="00353D9B" w:rsidRDefault="004C68C0" w:rsidP="001D5C6D">
      <w:pPr>
        <w:spacing w:after="13" w:line="259" w:lineRule="auto"/>
        <w:ind w:left="708" w:firstLine="0"/>
        <w:jc w:val="left"/>
        <w:rPr>
          <w:rFonts w:ascii="Arial" w:hAnsi="Arial" w:cs="Arial"/>
          <w:color w:val="auto"/>
          <w:szCs w:val="24"/>
        </w:rPr>
      </w:pPr>
      <w:r w:rsidRPr="00353D9B">
        <w:rPr>
          <w:rFonts w:ascii="Arial" w:hAnsi="Arial" w:cs="Arial"/>
          <w:color w:val="auto"/>
          <w:szCs w:val="24"/>
        </w:rPr>
        <w:t xml:space="preserve"> </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t xml:space="preserve">Safeguard against abuse of the procedure: </w:t>
      </w:r>
    </w:p>
    <w:p w:rsidR="00135BF0" w:rsidRPr="00353D9B" w:rsidRDefault="004C68C0" w:rsidP="001D5C6D">
      <w:pPr>
        <w:ind w:left="703"/>
        <w:jc w:val="left"/>
        <w:rPr>
          <w:rFonts w:ascii="Arial" w:hAnsi="Arial" w:cs="Arial"/>
          <w:color w:val="auto"/>
          <w:szCs w:val="24"/>
        </w:rPr>
      </w:pPr>
      <w:r w:rsidRPr="00353D9B">
        <w:rPr>
          <w:rFonts w:ascii="Arial" w:hAnsi="Arial" w:cs="Arial"/>
          <w:color w:val="auto"/>
          <w:szCs w:val="24"/>
        </w:rPr>
        <w:t xml:space="preserve">Ensure that the raising of unfounded allegations where individuals had no reason to believe that the allegations were </w:t>
      </w:r>
      <w:r w:rsidR="00DD650E" w:rsidRPr="00353D9B">
        <w:rPr>
          <w:rFonts w:ascii="Arial" w:hAnsi="Arial" w:cs="Arial"/>
          <w:color w:val="auto"/>
          <w:szCs w:val="24"/>
        </w:rPr>
        <w:t>well founded</w:t>
      </w:r>
      <w:r w:rsidRPr="00353D9B">
        <w:rPr>
          <w:rFonts w:ascii="Arial" w:hAnsi="Arial" w:cs="Arial"/>
          <w:color w:val="auto"/>
          <w:szCs w:val="24"/>
        </w:rPr>
        <w:t xml:space="preserve"> is recognised as a disciplinary offence.   </w:t>
      </w:r>
    </w:p>
    <w:p w:rsidR="00135BF0" w:rsidRPr="00353D9B" w:rsidRDefault="004C68C0" w:rsidP="001D5C6D">
      <w:pPr>
        <w:spacing w:after="13" w:line="259" w:lineRule="auto"/>
        <w:ind w:left="708" w:firstLine="0"/>
        <w:jc w:val="left"/>
        <w:rPr>
          <w:rFonts w:ascii="Arial" w:hAnsi="Arial" w:cs="Arial"/>
          <w:color w:val="auto"/>
          <w:szCs w:val="24"/>
        </w:rPr>
      </w:pPr>
      <w:r w:rsidRPr="00353D9B">
        <w:rPr>
          <w:rFonts w:ascii="Arial" w:hAnsi="Arial" w:cs="Arial"/>
          <w:color w:val="auto"/>
          <w:szCs w:val="24"/>
        </w:rPr>
        <w:t xml:space="preserve"> </w:t>
      </w:r>
    </w:p>
    <w:p w:rsidR="00135BF0" w:rsidRPr="00353D9B" w:rsidRDefault="004C68C0" w:rsidP="001D5C6D">
      <w:pPr>
        <w:numPr>
          <w:ilvl w:val="1"/>
          <w:numId w:val="1"/>
        </w:numPr>
        <w:spacing w:after="4" w:line="259" w:lineRule="auto"/>
        <w:ind w:left="709" w:hanging="567"/>
        <w:jc w:val="left"/>
        <w:rPr>
          <w:rFonts w:ascii="Arial" w:hAnsi="Arial" w:cs="Arial"/>
          <w:color w:val="auto"/>
          <w:szCs w:val="24"/>
        </w:rPr>
      </w:pPr>
      <w:r w:rsidRPr="00353D9B">
        <w:rPr>
          <w:rFonts w:ascii="Arial" w:hAnsi="Arial" w:cs="Arial"/>
          <w:color w:val="auto"/>
          <w:szCs w:val="24"/>
        </w:rPr>
        <w:t xml:space="preserve">Involve governors and staff in developing the policy and procedures. </w:t>
      </w:r>
    </w:p>
    <w:p w:rsidR="00135BF0" w:rsidRPr="001D5C6D" w:rsidRDefault="004C68C0" w:rsidP="001D5C6D">
      <w:pPr>
        <w:spacing w:after="56"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1D5C6D">
      <w:pPr>
        <w:numPr>
          <w:ilvl w:val="0"/>
          <w:numId w:val="1"/>
        </w:numPr>
        <w:spacing w:after="0" w:line="259" w:lineRule="auto"/>
        <w:ind w:left="721" w:hanging="579"/>
        <w:jc w:val="left"/>
        <w:rPr>
          <w:rFonts w:ascii="Arial" w:hAnsi="Arial" w:cs="Arial"/>
          <w:b/>
          <w:color w:val="auto"/>
          <w:szCs w:val="24"/>
        </w:rPr>
      </w:pPr>
      <w:r w:rsidRPr="00353D9B">
        <w:rPr>
          <w:rFonts w:ascii="Arial" w:hAnsi="Arial" w:cs="Arial"/>
          <w:b/>
          <w:color w:val="auto"/>
          <w:szCs w:val="24"/>
        </w:rPr>
        <w:t xml:space="preserve">Legislation </w:t>
      </w:r>
    </w:p>
    <w:p w:rsidR="00135BF0" w:rsidRPr="001D5C6D" w:rsidRDefault="004C68C0" w:rsidP="001D5C6D">
      <w:pPr>
        <w:spacing w:after="22"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Public Interest Disclosure Act 1998 is designed to protect ‘whistle blowers’ from detrimental treatment and unfair dismissal. The people protected by the Act include workers, employees, third party contractor staff, agency workers and work experience providers. </w:t>
      </w:r>
    </w:p>
    <w:p w:rsidR="00135BF0" w:rsidRPr="001D5C6D" w:rsidRDefault="004C68C0" w:rsidP="001D5C6D">
      <w:pPr>
        <w:spacing w:after="57"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1D5C6D">
      <w:pPr>
        <w:numPr>
          <w:ilvl w:val="0"/>
          <w:numId w:val="1"/>
        </w:numPr>
        <w:spacing w:after="0" w:line="259" w:lineRule="auto"/>
        <w:ind w:left="721" w:hanging="579"/>
        <w:jc w:val="left"/>
        <w:rPr>
          <w:rFonts w:ascii="Arial" w:hAnsi="Arial" w:cs="Arial"/>
          <w:b/>
          <w:color w:val="auto"/>
          <w:szCs w:val="24"/>
        </w:rPr>
      </w:pPr>
      <w:r w:rsidRPr="00353D9B">
        <w:rPr>
          <w:rFonts w:ascii="Arial" w:hAnsi="Arial" w:cs="Arial"/>
          <w:b/>
          <w:color w:val="auto"/>
          <w:szCs w:val="24"/>
        </w:rPr>
        <w:t xml:space="preserve">The Procedure </w:t>
      </w:r>
    </w:p>
    <w:p w:rsidR="00135BF0" w:rsidRPr="001D5C6D" w:rsidRDefault="004C68C0" w:rsidP="001D5C6D">
      <w:pPr>
        <w:spacing w:after="13"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All parties will agree that the concern raised will be kept confidential (as far as reasonably practicable to progress the complaint) while the procedure is being used.   </w:t>
      </w:r>
    </w:p>
    <w:p w:rsidR="00135BF0" w:rsidRPr="001D5C6D" w:rsidRDefault="004C68C0" w:rsidP="001D5C6D">
      <w:pPr>
        <w:spacing w:after="13"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Representor (the person raising the concern) should: </w:t>
      </w:r>
    </w:p>
    <w:p w:rsidR="00135BF0" w:rsidRPr="001D5C6D" w:rsidRDefault="004C68C0" w:rsidP="001D5C6D">
      <w:pPr>
        <w:spacing w:after="26" w:line="259" w:lineRule="auto"/>
        <w:ind w:left="0"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353D9B">
      <w:pPr>
        <w:pStyle w:val="ListParagraph"/>
        <w:numPr>
          <w:ilvl w:val="0"/>
          <w:numId w:val="6"/>
        </w:numPr>
        <w:jc w:val="left"/>
        <w:rPr>
          <w:rFonts w:ascii="Arial" w:hAnsi="Arial" w:cs="Arial"/>
          <w:color w:val="auto"/>
          <w:szCs w:val="24"/>
        </w:rPr>
      </w:pPr>
      <w:r w:rsidRPr="00353D9B">
        <w:rPr>
          <w:rFonts w:ascii="Arial" w:hAnsi="Arial" w:cs="Arial"/>
          <w:color w:val="auto"/>
          <w:szCs w:val="24"/>
        </w:rPr>
        <w:t xml:space="preserve">Raise their concern in writing with their line manager or </w:t>
      </w:r>
      <w:r w:rsidR="00F432BF">
        <w:rPr>
          <w:rFonts w:ascii="Arial" w:hAnsi="Arial" w:cs="Arial"/>
          <w:color w:val="auto"/>
          <w:szCs w:val="24"/>
        </w:rPr>
        <w:t>Headteacher</w:t>
      </w:r>
      <w:r w:rsidRPr="00353D9B">
        <w:rPr>
          <w:rFonts w:ascii="Arial" w:hAnsi="Arial" w:cs="Arial"/>
          <w:color w:val="auto"/>
          <w:szCs w:val="24"/>
        </w:rPr>
        <w:t xml:space="preserve">.   </w:t>
      </w:r>
    </w:p>
    <w:p w:rsidR="00135BF0" w:rsidRPr="00353D9B" w:rsidRDefault="004C68C0" w:rsidP="00353D9B">
      <w:pPr>
        <w:pStyle w:val="ListParagraph"/>
        <w:numPr>
          <w:ilvl w:val="0"/>
          <w:numId w:val="6"/>
        </w:numPr>
        <w:spacing w:after="39"/>
        <w:jc w:val="left"/>
        <w:rPr>
          <w:rFonts w:ascii="Arial" w:hAnsi="Arial" w:cs="Arial"/>
          <w:color w:val="auto"/>
          <w:szCs w:val="24"/>
        </w:rPr>
      </w:pPr>
      <w:r w:rsidRPr="00353D9B">
        <w:rPr>
          <w:rFonts w:ascii="Arial" w:hAnsi="Arial" w:cs="Arial"/>
          <w:color w:val="auto"/>
          <w:szCs w:val="24"/>
        </w:rPr>
        <w:t xml:space="preserve">If the line manager believes that it is appropriate to use the Whistle Blowing Procedure, the manager should contact the </w:t>
      </w:r>
      <w:r w:rsidR="00F432BF">
        <w:rPr>
          <w:rFonts w:ascii="Arial" w:hAnsi="Arial" w:cs="Arial"/>
          <w:color w:val="auto"/>
          <w:szCs w:val="24"/>
        </w:rPr>
        <w:t>Headteacher</w:t>
      </w:r>
      <w:r w:rsidRPr="00353D9B">
        <w:rPr>
          <w:rFonts w:ascii="Arial" w:hAnsi="Arial" w:cs="Arial"/>
          <w:color w:val="auto"/>
          <w:szCs w:val="24"/>
        </w:rPr>
        <w:t xml:space="preserve"> (the Assessor). </w:t>
      </w:r>
    </w:p>
    <w:p w:rsidR="00135BF0" w:rsidRPr="00353D9B" w:rsidRDefault="004C68C0" w:rsidP="00353D9B">
      <w:pPr>
        <w:pStyle w:val="ListParagraph"/>
        <w:numPr>
          <w:ilvl w:val="0"/>
          <w:numId w:val="6"/>
        </w:numPr>
        <w:spacing w:after="39"/>
        <w:jc w:val="left"/>
        <w:rPr>
          <w:rFonts w:ascii="Arial" w:hAnsi="Arial" w:cs="Arial"/>
          <w:color w:val="auto"/>
          <w:szCs w:val="24"/>
        </w:rPr>
      </w:pPr>
      <w:r w:rsidRPr="00353D9B">
        <w:rPr>
          <w:rFonts w:ascii="Arial" w:hAnsi="Arial" w:cs="Arial"/>
          <w:color w:val="auto"/>
          <w:szCs w:val="24"/>
        </w:rPr>
        <w:t xml:space="preserve">Should it be alleged the </w:t>
      </w:r>
      <w:r w:rsidR="00F432BF">
        <w:rPr>
          <w:rFonts w:ascii="Arial" w:hAnsi="Arial" w:cs="Arial"/>
          <w:color w:val="auto"/>
          <w:szCs w:val="24"/>
        </w:rPr>
        <w:t>Headteacher</w:t>
      </w:r>
      <w:r w:rsidRPr="00353D9B">
        <w:rPr>
          <w:rFonts w:ascii="Arial" w:hAnsi="Arial" w:cs="Arial"/>
          <w:color w:val="auto"/>
          <w:szCs w:val="24"/>
        </w:rPr>
        <w:t xml:space="preserve"> is involved in the alleged malpractice; the CEO should be contacted to act as Assessor. </w:t>
      </w:r>
    </w:p>
    <w:p w:rsidR="00135BF0" w:rsidRPr="00353D9B" w:rsidRDefault="004C68C0" w:rsidP="00353D9B">
      <w:pPr>
        <w:pStyle w:val="ListParagraph"/>
        <w:numPr>
          <w:ilvl w:val="0"/>
          <w:numId w:val="6"/>
        </w:numPr>
        <w:jc w:val="left"/>
        <w:rPr>
          <w:rFonts w:ascii="Arial" w:hAnsi="Arial" w:cs="Arial"/>
          <w:color w:val="auto"/>
          <w:szCs w:val="24"/>
        </w:rPr>
      </w:pPr>
      <w:r w:rsidRPr="00353D9B">
        <w:rPr>
          <w:rFonts w:ascii="Arial" w:hAnsi="Arial" w:cs="Arial"/>
          <w:color w:val="auto"/>
          <w:szCs w:val="24"/>
        </w:rPr>
        <w:t xml:space="preserve">If the Representor feels unable to raise their concern with their line manager or the </w:t>
      </w:r>
      <w:r w:rsidR="00F432BF">
        <w:rPr>
          <w:rFonts w:ascii="Arial" w:hAnsi="Arial" w:cs="Arial"/>
          <w:color w:val="auto"/>
          <w:szCs w:val="24"/>
        </w:rPr>
        <w:t>Headteacher</w:t>
      </w:r>
      <w:r w:rsidRPr="00353D9B">
        <w:rPr>
          <w:rFonts w:ascii="Arial" w:hAnsi="Arial" w:cs="Arial"/>
          <w:color w:val="auto"/>
          <w:szCs w:val="24"/>
        </w:rPr>
        <w:t xml:space="preserve"> in the first instant, they may contact the CEO direct. If this occurs, the Representor will be asked to justify why they feel unable to raise the concern with their line manager or the </w:t>
      </w:r>
      <w:r w:rsidR="00F432BF">
        <w:rPr>
          <w:rFonts w:ascii="Arial" w:hAnsi="Arial" w:cs="Arial"/>
          <w:color w:val="auto"/>
          <w:szCs w:val="24"/>
        </w:rPr>
        <w:t>Headteacher</w:t>
      </w:r>
      <w:r w:rsidRPr="00353D9B">
        <w:rPr>
          <w:rFonts w:ascii="Arial" w:hAnsi="Arial" w:cs="Arial"/>
          <w:color w:val="auto"/>
          <w:szCs w:val="24"/>
        </w:rPr>
        <w:t xml:space="preserve">. </w:t>
      </w:r>
    </w:p>
    <w:p w:rsidR="00135BF0" w:rsidRPr="001D5C6D" w:rsidRDefault="004C68C0" w:rsidP="001D5C6D">
      <w:pPr>
        <w:spacing w:after="31"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Assessor should: </w:t>
      </w:r>
    </w:p>
    <w:p w:rsidR="00135BF0" w:rsidRPr="001D5C6D" w:rsidRDefault="004C68C0"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353D9B">
      <w:pPr>
        <w:pStyle w:val="ListParagraph"/>
        <w:numPr>
          <w:ilvl w:val="0"/>
          <w:numId w:val="5"/>
        </w:numPr>
        <w:spacing w:after="39"/>
        <w:jc w:val="left"/>
        <w:rPr>
          <w:rFonts w:ascii="Arial" w:hAnsi="Arial" w:cs="Arial"/>
          <w:color w:val="auto"/>
          <w:szCs w:val="24"/>
        </w:rPr>
      </w:pPr>
      <w:r w:rsidRPr="00353D9B">
        <w:rPr>
          <w:rFonts w:ascii="Arial" w:hAnsi="Arial" w:cs="Arial"/>
          <w:color w:val="auto"/>
          <w:szCs w:val="24"/>
        </w:rPr>
        <w:t xml:space="preserve">Interview the Representor usually within seven working days, or earlier if there is an immediate danger to loss of life or serious injury; </w:t>
      </w:r>
    </w:p>
    <w:p w:rsidR="00135BF0" w:rsidRPr="00353D9B" w:rsidRDefault="004C68C0" w:rsidP="00353D9B">
      <w:pPr>
        <w:pStyle w:val="ListParagraph"/>
        <w:numPr>
          <w:ilvl w:val="0"/>
          <w:numId w:val="5"/>
        </w:numPr>
        <w:spacing w:after="39"/>
        <w:jc w:val="left"/>
        <w:rPr>
          <w:rFonts w:ascii="Arial" w:hAnsi="Arial" w:cs="Arial"/>
          <w:color w:val="auto"/>
          <w:szCs w:val="24"/>
        </w:rPr>
      </w:pPr>
      <w:r w:rsidRPr="00353D9B">
        <w:rPr>
          <w:rFonts w:ascii="Arial" w:hAnsi="Arial" w:cs="Arial"/>
          <w:color w:val="auto"/>
          <w:szCs w:val="24"/>
        </w:rPr>
        <w:t xml:space="preserve">Obtain as much information as possible from the Representor about the grounds for the belief of malpractice; </w:t>
      </w:r>
    </w:p>
    <w:p w:rsidR="00135BF0" w:rsidRPr="00353D9B" w:rsidRDefault="004C68C0" w:rsidP="00353D9B">
      <w:pPr>
        <w:pStyle w:val="ListParagraph"/>
        <w:numPr>
          <w:ilvl w:val="0"/>
          <w:numId w:val="5"/>
        </w:numPr>
        <w:jc w:val="left"/>
        <w:rPr>
          <w:rFonts w:ascii="Arial" w:hAnsi="Arial" w:cs="Arial"/>
          <w:color w:val="auto"/>
          <w:szCs w:val="24"/>
        </w:rPr>
      </w:pPr>
      <w:r w:rsidRPr="00353D9B">
        <w:rPr>
          <w:rFonts w:ascii="Arial" w:hAnsi="Arial" w:cs="Arial"/>
          <w:color w:val="auto"/>
          <w:szCs w:val="24"/>
        </w:rPr>
        <w:t xml:space="preserve">Consult with the Representor about further steps which could be taken; </w:t>
      </w:r>
    </w:p>
    <w:p w:rsidR="00135BF0" w:rsidRPr="00353D9B" w:rsidRDefault="004C68C0" w:rsidP="00353D9B">
      <w:pPr>
        <w:pStyle w:val="ListParagraph"/>
        <w:numPr>
          <w:ilvl w:val="0"/>
          <w:numId w:val="5"/>
        </w:numPr>
        <w:jc w:val="left"/>
        <w:rPr>
          <w:rFonts w:ascii="Arial" w:hAnsi="Arial" w:cs="Arial"/>
          <w:color w:val="auto"/>
          <w:szCs w:val="24"/>
        </w:rPr>
      </w:pPr>
      <w:r w:rsidRPr="00353D9B">
        <w:rPr>
          <w:rFonts w:ascii="Arial" w:hAnsi="Arial" w:cs="Arial"/>
          <w:color w:val="auto"/>
          <w:szCs w:val="24"/>
        </w:rPr>
        <w:t>Advise the Representor of the appropriate route if the matter does not fall under the Academy’s Whistle Blowing Procedure</w:t>
      </w:r>
      <w:r w:rsidRPr="00353D9B">
        <w:rPr>
          <w:rFonts w:ascii="Arial" w:eastAsia="Times New Roman" w:hAnsi="Arial" w:cs="Arial"/>
          <w:color w:val="auto"/>
          <w:szCs w:val="24"/>
        </w:rPr>
        <w:t xml:space="preserve">. </w:t>
      </w:r>
    </w:p>
    <w:p w:rsidR="00135BF0" w:rsidRPr="001D5C6D" w:rsidRDefault="004C68C0" w:rsidP="001D5C6D">
      <w:pPr>
        <w:spacing w:after="13"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lastRenderedPageBreak/>
        <w:t xml:space="preserve">At the interview with the Assessor, the Representor may be accompanied by a recognised trade union representative or a work colleague. The Assessor may be accompanied by a member of the Academy staff to take notes. </w:t>
      </w:r>
    </w:p>
    <w:p w:rsidR="00135BF0" w:rsidRPr="001D5C6D" w:rsidRDefault="004C68C0" w:rsidP="001D5C6D">
      <w:pPr>
        <w:spacing w:after="0"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If reasonably practicable within ten working days of the interview,</w:t>
      </w:r>
      <w:r w:rsidR="00DD650E" w:rsidRPr="001D5C6D">
        <w:rPr>
          <w:rFonts w:ascii="Arial" w:hAnsi="Arial" w:cs="Arial"/>
          <w:color w:val="auto"/>
          <w:szCs w:val="24"/>
        </w:rPr>
        <w:t xml:space="preserve"> the Assessor will recommend to </w:t>
      </w:r>
      <w:r w:rsidRPr="001D5C6D">
        <w:rPr>
          <w:rFonts w:ascii="Arial" w:hAnsi="Arial" w:cs="Arial"/>
          <w:color w:val="auto"/>
          <w:szCs w:val="24"/>
        </w:rPr>
        <w:t>the Representor one or more of the following</w:t>
      </w:r>
      <w:r w:rsidRPr="001D5C6D">
        <w:rPr>
          <w:rFonts w:ascii="Arial" w:eastAsia="Times New Roman" w:hAnsi="Arial" w:cs="Arial"/>
          <w:color w:val="auto"/>
          <w:szCs w:val="24"/>
        </w:rPr>
        <w:t xml:space="preserve">: </w:t>
      </w:r>
    </w:p>
    <w:p w:rsidR="00135BF0" w:rsidRPr="001D5C6D" w:rsidRDefault="004C68C0" w:rsidP="001D5C6D">
      <w:pPr>
        <w:spacing w:after="34"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353D9B" w:rsidRDefault="004C68C0" w:rsidP="00353D9B">
      <w:pPr>
        <w:pStyle w:val="ListParagraph"/>
        <w:numPr>
          <w:ilvl w:val="0"/>
          <w:numId w:val="3"/>
        </w:numPr>
        <w:spacing w:after="39"/>
        <w:jc w:val="left"/>
        <w:rPr>
          <w:rFonts w:ascii="Arial" w:hAnsi="Arial" w:cs="Arial"/>
          <w:color w:val="auto"/>
          <w:szCs w:val="24"/>
        </w:rPr>
      </w:pPr>
      <w:r w:rsidRPr="00353D9B">
        <w:rPr>
          <w:rFonts w:ascii="Arial" w:hAnsi="Arial" w:cs="Arial"/>
          <w:color w:val="auto"/>
          <w:szCs w:val="24"/>
        </w:rPr>
        <w:t xml:space="preserve">The outcome and any recommended action to be taken by the Academy (as far as reasonably appropriate); </w:t>
      </w:r>
    </w:p>
    <w:p w:rsidR="00135BF0" w:rsidRPr="00353D9B" w:rsidRDefault="004C68C0" w:rsidP="00353D9B">
      <w:pPr>
        <w:pStyle w:val="ListParagraph"/>
        <w:numPr>
          <w:ilvl w:val="0"/>
          <w:numId w:val="3"/>
        </w:numPr>
        <w:jc w:val="left"/>
        <w:rPr>
          <w:rFonts w:ascii="Arial" w:hAnsi="Arial" w:cs="Arial"/>
          <w:color w:val="auto"/>
          <w:szCs w:val="24"/>
        </w:rPr>
      </w:pPr>
      <w:r w:rsidRPr="00353D9B">
        <w:rPr>
          <w:rFonts w:ascii="Arial" w:hAnsi="Arial" w:cs="Arial"/>
          <w:color w:val="auto"/>
          <w:szCs w:val="24"/>
        </w:rPr>
        <w:t xml:space="preserve">The matter requires further investigation internally by the Academy; </w:t>
      </w:r>
    </w:p>
    <w:p w:rsidR="00135BF0" w:rsidRPr="00353D9B" w:rsidRDefault="004C68C0" w:rsidP="00353D9B">
      <w:pPr>
        <w:pStyle w:val="ListParagraph"/>
        <w:numPr>
          <w:ilvl w:val="0"/>
          <w:numId w:val="3"/>
        </w:numPr>
        <w:jc w:val="left"/>
        <w:rPr>
          <w:rFonts w:ascii="Arial" w:hAnsi="Arial" w:cs="Arial"/>
          <w:color w:val="auto"/>
          <w:szCs w:val="24"/>
        </w:rPr>
      </w:pPr>
      <w:r w:rsidRPr="00353D9B">
        <w:rPr>
          <w:rFonts w:ascii="Arial" w:hAnsi="Arial" w:cs="Arial"/>
          <w:color w:val="auto"/>
          <w:szCs w:val="24"/>
        </w:rPr>
        <w:t xml:space="preserve">The matter be investigated by the external auditors appointed by the Academy; </w:t>
      </w:r>
    </w:p>
    <w:p w:rsidR="00135BF0" w:rsidRPr="00353D9B" w:rsidRDefault="004C68C0" w:rsidP="00353D9B">
      <w:pPr>
        <w:pStyle w:val="ListParagraph"/>
        <w:numPr>
          <w:ilvl w:val="0"/>
          <w:numId w:val="3"/>
        </w:numPr>
        <w:jc w:val="left"/>
        <w:rPr>
          <w:rFonts w:ascii="Arial" w:hAnsi="Arial" w:cs="Arial"/>
          <w:color w:val="auto"/>
          <w:szCs w:val="24"/>
        </w:rPr>
      </w:pPr>
      <w:r w:rsidRPr="00353D9B">
        <w:rPr>
          <w:rFonts w:ascii="Arial" w:hAnsi="Arial" w:cs="Arial"/>
          <w:color w:val="auto"/>
          <w:szCs w:val="24"/>
        </w:rPr>
        <w:t>The matter be reported to the Police</w:t>
      </w:r>
      <w:r w:rsidRPr="00353D9B">
        <w:rPr>
          <w:rFonts w:ascii="Arial" w:eastAsia="Times New Roman" w:hAnsi="Arial" w:cs="Arial"/>
          <w:color w:val="auto"/>
          <w:szCs w:val="24"/>
        </w:rPr>
        <w:t xml:space="preserve">; </w:t>
      </w:r>
    </w:p>
    <w:p w:rsidR="00135BF0" w:rsidRPr="00353D9B" w:rsidRDefault="004C68C0" w:rsidP="00353D9B">
      <w:pPr>
        <w:pStyle w:val="ListParagraph"/>
        <w:numPr>
          <w:ilvl w:val="0"/>
          <w:numId w:val="3"/>
        </w:numPr>
        <w:spacing w:after="39"/>
        <w:jc w:val="left"/>
        <w:rPr>
          <w:rFonts w:ascii="Arial" w:hAnsi="Arial" w:cs="Arial"/>
          <w:color w:val="auto"/>
          <w:szCs w:val="24"/>
        </w:rPr>
      </w:pPr>
      <w:r w:rsidRPr="00353D9B">
        <w:rPr>
          <w:rFonts w:ascii="Arial" w:hAnsi="Arial" w:cs="Arial"/>
          <w:color w:val="auto"/>
          <w:szCs w:val="24"/>
        </w:rPr>
        <w:t xml:space="preserve">The route for the member of staff to pursue the matter, if it does not fall within the procedure; or </w:t>
      </w:r>
    </w:p>
    <w:p w:rsidR="00135BF0" w:rsidRPr="00353D9B" w:rsidRDefault="004C68C0" w:rsidP="00353D9B">
      <w:pPr>
        <w:pStyle w:val="ListParagraph"/>
        <w:numPr>
          <w:ilvl w:val="0"/>
          <w:numId w:val="3"/>
        </w:numPr>
        <w:jc w:val="left"/>
        <w:rPr>
          <w:rFonts w:ascii="Arial" w:hAnsi="Arial" w:cs="Arial"/>
          <w:color w:val="auto"/>
          <w:szCs w:val="24"/>
        </w:rPr>
      </w:pPr>
      <w:r w:rsidRPr="00353D9B">
        <w:rPr>
          <w:rFonts w:ascii="Arial" w:hAnsi="Arial" w:cs="Arial"/>
          <w:color w:val="auto"/>
          <w:szCs w:val="24"/>
        </w:rPr>
        <w:t xml:space="preserve">That no further action is taken by the Academy. </w:t>
      </w:r>
    </w:p>
    <w:p w:rsidR="00135BF0" w:rsidRPr="00353D9B" w:rsidRDefault="004C68C0" w:rsidP="001D5C6D">
      <w:pPr>
        <w:spacing w:after="0" w:line="259" w:lineRule="auto"/>
        <w:ind w:left="142" w:firstLine="0"/>
        <w:jc w:val="left"/>
        <w:rPr>
          <w:rFonts w:ascii="Arial" w:hAnsi="Arial" w:cs="Arial"/>
          <w:color w:val="auto"/>
          <w:szCs w:val="24"/>
        </w:rPr>
      </w:pPr>
      <w:r w:rsidRPr="00353D9B">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grounds on which no further action is taken include: </w:t>
      </w:r>
    </w:p>
    <w:p w:rsidR="00135BF0" w:rsidRPr="001D5C6D" w:rsidRDefault="004C68C0" w:rsidP="001D5C6D">
      <w:pPr>
        <w:spacing w:after="26"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353D9B">
      <w:pPr>
        <w:pStyle w:val="ListParagraph"/>
        <w:numPr>
          <w:ilvl w:val="0"/>
          <w:numId w:val="4"/>
        </w:numPr>
        <w:spacing w:after="39"/>
        <w:jc w:val="left"/>
        <w:rPr>
          <w:rFonts w:ascii="Arial" w:hAnsi="Arial" w:cs="Arial"/>
          <w:color w:val="auto"/>
          <w:szCs w:val="24"/>
        </w:rPr>
      </w:pPr>
      <w:r w:rsidRPr="00353D9B">
        <w:rPr>
          <w:rFonts w:ascii="Arial" w:hAnsi="Arial" w:cs="Arial"/>
          <w:color w:val="auto"/>
          <w:szCs w:val="24"/>
        </w:rPr>
        <w:t xml:space="preserve">The Assessor is satisfied that, on the balance of probabilities, there is no evidence that malpractice within the meaning of the procedure has occurred, is occurring or is likely to occur; </w:t>
      </w:r>
    </w:p>
    <w:p w:rsidR="00135BF0" w:rsidRPr="00353D9B" w:rsidRDefault="004C68C0" w:rsidP="00353D9B">
      <w:pPr>
        <w:pStyle w:val="ListParagraph"/>
        <w:numPr>
          <w:ilvl w:val="0"/>
          <w:numId w:val="4"/>
        </w:numPr>
        <w:spacing w:after="34"/>
        <w:jc w:val="left"/>
        <w:rPr>
          <w:rFonts w:ascii="Arial" w:hAnsi="Arial" w:cs="Arial"/>
          <w:color w:val="auto"/>
          <w:szCs w:val="24"/>
        </w:rPr>
      </w:pPr>
      <w:r w:rsidRPr="00353D9B">
        <w:rPr>
          <w:rFonts w:ascii="Arial" w:hAnsi="Arial" w:cs="Arial"/>
          <w:color w:val="auto"/>
          <w:szCs w:val="24"/>
        </w:rPr>
        <w:t>The matter is already (or has been) the subject of proceeding under one of the Academy’s other procedures or policies</w:t>
      </w:r>
      <w:r w:rsidRPr="00353D9B">
        <w:rPr>
          <w:rFonts w:ascii="Arial" w:eastAsia="Times New Roman" w:hAnsi="Arial" w:cs="Arial"/>
          <w:color w:val="auto"/>
          <w:szCs w:val="24"/>
        </w:rPr>
        <w:t xml:space="preserve">; </w:t>
      </w:r>
    </w:p>
    <w:p w:rsidR="00135BF0" w:rsidRPr="00353D9B" w:rsidRDefault="004C68C0" w:rsidP="00353D9B">
      <w:pPr>
        <w:pStyle w:val="ListParagraph"/>
        <w:numPr>
          <w:ilvl w:val="0"/>
          <w:numId w:val="4"/>
        </w:numPr>
        <w:jc w:val="left"/>
        <w:rPr>
          <w:rFonts w:ascii="Arial" w:hAnsi="Arial" w:cs="Arial"/>
          <w:color w:val="auto"/>
          <w:szCs w:val="24"/>
        </w:rPr>
      </w:pPr>
      <w:r w:rsidRPr="00353D9B">
        <w:rPr>
          <w:rFonts w:ascii="Arial" w:hAnsi="Arial" w:cs="Arial"/>
          <w:color w:val="auto"/>
          <w:szCs w:val="24"/>
        </w:rPr>
        <w:t>The matter concerned is already the subject of legal proceedings, or has already been referred to the Police, the external auditors, the Department for Education or other public authority</w:t>
      </w:r>
      <w:r w:rsidRPr="00353D9B">
        <w:rPr>
          <w:rFonts w:ascii="Arial" w:eastAsia="Times New Roman" w:hAnsi="Arial" w:cs="Arial"/>
          <w:color w:val="auto"/>
          <w:szCs w:val="24"/>
        </w:rPr>
        <w:t xml:space="preserve">. </w:t>
      </w:r>
    </w:p>
    <w:p w:rsidR="00135BF0" w:rsidRPr="001D5C6D" w:rsidRDefault="004C68C0" w:rsidP="001D5C6D">
      <w:pPr>
        <w:spacing w:after="0"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conclusion on any further investigation will be reported by the Assessor to the Representor as soon as reasonably practicable and where possible within </w:t>
      </w:r>
      <w:r w:rsidR="00DD650E" w:rsidRPr="001D5C6D">
        <w:rPr>
          <w:rFonts w:ascii="Arial" w:hAnsi="Arial" w:cs="Arial"/>
          <w:color w:val="auto"/>
          <w:szCs w:val="24"/>
        </w:rPr>
        <w:t>twenty-eight</w:t>
      </w:r>
      <w:r w:rsidRPr="001D5C6D">
        <w:rPr>
          <w:rFonts w:ascii="Arial" w:hAnsi="Arial" w:cs="Arial"/>
          <w:color w:val="auto"/>
          <w:szCs w:val="24"/>
        </w:rPr>
        <w:t xml:space="preserve"> working days.  </w:t>
      </w:r>
    </w:p>
    <w:p w:rsidR="00135BF0" w:rsidRPr="001D5C6D" w:rsidRDefault="004C68C0" w:rsidP="001D5C6D">
      <w:pPr>
        <w:spacing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All responses to the Representor will be made in writing. </w:t>
      </w:r>
    </w:p>
    <w:p w:rsidR="00135BF0" w:rsidRPr="001D5C6D" w:rsidRDefault="004C68C0" w:rsidP="001D5C6D">
      <w:pPr>
        <w:spacing w:after="14"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If the Representor has not had a response within the above time limits, or if they are dissatisfied with the outcome, they may appeal to the Chair of the Board setting out the grounds for their appeal.    </w:t>
      </w:r>
    </w:p>
    <w:p w:rsidR="00135BF0" w:rsidRPr="001D5C6D" w:rsidRDefault="004C68C0" w:rsidP="001D5C6D">
      <w:pPr>
        <w:spacing w:after="0"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Academy will ensure the Representor is protected from any form of victimisation or discrimination. </w:t>
      </w:r>
    </w:p>
    <w:p w:rsidR="00135BF0" w:rsidRPr="001D5C6D" w:rsidRDefault="004C68C0" w:rsidP="001D5C6D">
      <w:pPr>
        <w:spacing w:after="66" w:line="259" w:lineRule="auto"/>
        <w:ind w:left="142"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353D9B" w:rsidRDefault="004C68C0" w:rsidP="001D5C6D">
      <w:pPr>
        <w:numPr>
          <w:ilvl w:val="0"/>
          <w:numId w:val="1"/>
        </w:numPr>
        <w:spacing w:after="0" w:line="259" w:lineRule="auto"/>
        <w:ind w:left="721" w:hanging="579"/>
        <w:jc w:val="left"/>
        <w:rPr>
          <w:rFonts w:ascii="Arial" w:hAnsi="Arial" w:cs="Arial"/>
          <w:b/>
          <w:color w:val="auto"/>
          <w:szCs w:val="24"/>
        </w:rPr>
      </w:pPr>
      <w:r w:rsidRPr="00353D9B">
        <w:rPr>
          <w:rFonts w:ascii="Arial" w:hAnsi="Arial" w:cs="Arial"/>
          <w:b/>
          <w:color w:val="auto"/>
          <w:szCs w:val="24"/>
        </w:rPr>
        <w:t xml:space="preserve">Malicious Accusations </w:t>
      </w:r>
    </w:p>
    <w:p w:rsidR="00135BF0" w:rsidRPr="001D5C6D" w:rsidRDefault="004C68C0" w:rsidP="001D5C6D">
      <w:pPr>
        <w:spacing w:after="22"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Deliberately false or malicious accusations made by a Representor will be dealt with under the Academy’s disciplinary procedure. </w:t>
      </w:r>
    </w:p>
    <w:p w:rsidR="00135BF0" w:rsidRPr="001D5C6D" w:rsidRDefault="004C68C0" w:rsidP="001D5C6D">
      <w:pPr>
        <w:spacing w:after="68"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353D9B" w:rsidRDefault="004C68C0" w:rsidP="001D5C6D">
      <w:pPr>
        <w:numPr>
          <w:ilvl w:val="0"/>
          <w:numId w:val="1"/>
        </w:numPr>
        <w:spacing w:after="0" w:line="259" w:lineRule="auto"/>
        <w:ind w:left="721" w:hanging="579"/>
        <w:jc w:val="left"/>
        <w:rPr>
          <w:rFonts w:ascii="Arial" w:hAnsi="Arial" w:cs="Arial"/>
          <w:b/>
          <w:color w:val="auto"/>
          <w:szCs w:val="24"/>
        </w:rPr>
      </w:pPr>
      <w:r w:rsidRPr="00353D9B">
        <w:rPr>
          <w:rFonts w:ascii="Arial" w:hAnsi="Arial" w:cs="Arial"/>
          <w:b/>
          <w:color w:val="auto"/>
          <w:szCs w:val="24"/>
        </w:rPr>
        <w:t xml:space="preserve">External Sources </w:t>
      </w:r>
    </w:p>
    <w:p w:rsidR="00135BF0" w:rsidRPr="001D5C6D" w:rsidRDefault="004C68C0" w:rsidP="001D5C6D">
      <w:pPr>
        <w:spacing w:after="0" w:line="259" w:lineRule="auto"/>
        <w:ind w:left="142" w:firstLine="0"/>
        <w:jc w:val="left"/>
        <w:rPr>
          <w:rFonts w:ascii="Arial" w:hAnsi="Arial" w:cs="Arial"/>
          <w:color w:val="auto"/>
          <w:szCs w:val="24"/>
        </w:rPr>
      </w:pPr>
      <w:r w:rsidRPr="001D5C6D">
        <w:rPr>
          <w:rFonts w:ascii="Arial" w:hAnsi="Arial" w:cs="Arial"/>
          <w:color w:val="auto"/>
          <w:szCs w:val="24"/>
        </w:rPr>
        <w:t xml:space="preserve"> </w:t>
      </w:r>
    </w:p>
    <w:p w:rsidR="00135BF0" w:rsidRPr="001D5C6D" w:rsidRDefault="004C68C0" w:rsidP="001D5C6D">
      <w:pPr>
        <w:numPr>
          <w:ilvl w:val="1"/>
          <w:numId w:val="1"/>
        </w:numPr>
        <w:ind w:left="709" w:hanging="567"/>
        <w:jc w:val="left"/>
        <w:rPr>
          <w:rFonts w:ascii="Arial" w:hAnsi="Arial" w:cs="Arial"/>
          <w:color w:val="auto"/>
          <w:szCs w:val="24"/>
        </w:rPr>
      </w:pPr>
      <w:r w:rsidRPr="001D5C6D">
        <w:rPr>
          <w:rFonts w:ascii="Arial" w:hAnsi="Arial" w:cs="Arial"/>
          <w:color w:val="auto"/>
          <w:szCs w:val="24"/>
        </w:rPr>
        <w:t xml:space="preserve">The aim of this policy is to provide an internal mechanism for reporting, investigating and remedying any wrongdoing in the workplace.  In certain circumstances if you believe that the information you are disclosing is substantially true (and it falls within their remit) it may be appropriate to refer certain matters to a relevant outside body including: </w:t>
      </w:r>
    </w:p>
    <w:p w:rsidR="00135BF0" w:rsidRPr="001D5C6D" w:rsidRDefault="00135BF0" w:rsidP="001D5C6D">
      <w:pPr>
        <w:spacing w:after="25" w:line="259" w:lineRule="auto"/>
        <w:ind w:left="709" w:firstLine="0"/>
        <w:jc w:val="left"/>
        <w:rPr>
          <w:rFonts w:ascii="Arial" w:hAnsi="Arial" w:cs="Arial"/>
          <w:color w:val="auto"/>
          <w:szCs w:val="24"/>
        </w:rPr>
      </w:pPr>
    </w:p>
    <w:p w:rsidR="00856685" w:rsidRPr="001D5C6D" w:rsidRDefault="00856685"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Local Authority Designated Officer </w:t>
      </w:r>
    </w:p>
    <w:p w:rsidR="00856685" w:rsidRPr="001D5C6D" w:rsidRDefault="00856685"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Children’s Social Care </w:t>
      </w:r>
    </w:p>
    <w:p w:rsidR="00856685" w:rsidRPr="001D5C6D" w:rsidRDefault="00856685"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The NSPCC</w:t>
      </w:r>
    </w:p>
    <w:p w:rsidR="00856685" w:rsidRPr="001D5C6D" w:rsidRDefault="00856685"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Health and Safety Executive </w:t>
      </w:r>
    </w:p>
    <w:p w:rsidR="00856685" w:rsidRPr="001D5C6D" w:rsidRDefault="00856685"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Environment Agency </w:t>
      </w:r>
    </w:p>
    <w:p w:rsidR="004C68C0" w:rsidRPr="001D5C6D" w:rsidRDefault="004C68C0"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Information Commissioner </w:t>
      </w:r>
    </w:p>
    <w:p w:rsidR="004C68C0" w:rsidRPr="001D5C6D" w:rsidRDefault="004C68C0"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Department for Education </w:t>
      </w:r>
    </w:p>
    <w:p w:rsidR="004C68C0" w:rsidRPr="001D5C6D" w:rsidRDefault="004C68C0"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Department for Business, Energy and Industrial Strategy </w:t>
      </w:r>
    </w:p>
    <w:p w:rsidR="004C68C0" w:rsidRPr="001D5C6D" w:rsidRDefault="004C68C0"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 xml:space="preserve">The Police </w:t>
      </w:r>
    </w:p>
    <w:p w:rsidR="00135BF0" w:rsidRPr="001D5C6D" w:rsidRDefault="004C68C0"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The Office for Standards in Education, Children's Services and Skills (</w:t>
      </w:r>
      <w:r w:rsidRPr="001D5C6D">
        <w:rPr>
          <w:rFonts w:ascii="Arial" w:hAnsi="Arial" w:cs="Arial"/>
          <w:b/>
          <w:color w:val="auto"/>
          <w:szCs w:val="24"/>
        </w:rPr>
        <w:t>Ofsted</w:t>
      </w:r>
      <w:r w:rsidRPr="001D5C6D">
        <w:rPr>
          <w:rFonts w:ascii="Arial" w:hAnsi="Arial" w:cs="Arial"/>
          <w:color w:val="auto"/>
          <w:szCs w:val="24"/>
        </w:rPr>
        <w:t>)</w:t>
      </w:r>
    </w:p>
    <w:p w:rsidR="001F6356" w:rsidRPr="001D5C6D" w:rsidRDefault="001F6356" w:rsidP="001D5C6D">
      <w:pPr>
        <w:spacing w:after="25" w:line="259" w:lineRule="auto"/>
        <w:ind w:left="708" w:firstLine="0"/>
        <w:jc w:val="left"/>
        <w:rPr>
          <w:rFonts w:ascii="Arial" w:hAnsi="Arial" w:cs="Arial"/>
          <w:color w:val="auto"/>
          <w:szCs w:val="24"/>
        </w:rPr>
      </w:pPr>
      <w:r w:rsidRPr="001D5C6D">
        <w:rPr>
          <w:rFonts w:ascii="Arial" w:hAnsi="Arial" w:cs="Arial"/>
          <w:color w:val="auto"/>
          <w:szCs w:val="24"/>
        </w:rPr>
        <w:t>The Channel Police Practitioner</w:t>
      </w:r>
    </w:p>
    <w:p w:rsidR="00135BF0" w:rsidRDefault="00135BF0" w:rsidP="001D5C6D">
      <w:pPr>
        <w:spacing w:after="88" w:line="259" w:lineRule="auto"/>
        <w:ind w:left="142" w:firstLine="0"/>
        <w:jc w:val="left"/>
        <w:rPr>
          <w:rFonts w:ascii="Arial" w:hAnsi="Arial" w:cs="Arial"/>
          <w:color w:val="auto"/>
          <w:szCs w:val="24"/>
        </w:rPr>
      </w:pPr>
    </w:p>
    <w:p w:rsidR="00135BF0" w:rsidRPr="00353D9B" w:rsidRDefault="004C68C0" w:rsidP="00353D9B">
      <w:pPr>
        <w:spacing w:after="0" w:line="259" w:lineRule="auto"/>
        <w:ind w:left="709" w:hanging="709"/>
        <w:jc w:val="left"/>
        <w:rPr>
          <w:rFonts w:ascii="Arial" w:eastAsia="Arial" w:hAnsi="Arial" w:cs="Arial"/>
          <w:color w:val="auto"/>
          <w:szCs w:val="24"/>
        </w:rPr>
      </w:pPr>
      <w:r w:rsidRPr="001D5C6D">
        <w:rPr>
          <w:rFonts w:ascii="Arial" w:hAnsi="Arial" w:cs="Arial"/>
          <w:color w:val="auto"/>
          <w:szCs w:val="24"/>
        </w:rPr>
        <w:t>8.</w:t>
      </w:r>
      <w:r w:rsidRPr="001D5C6D">
        <w:rPr>
          <w:rFonts w:ascii="Arial" w:eastAsia="Arial" w:hAnsi="Arial" w:cs="Arial"/>
          <w:color w:val="auto"/>
          <w:szCs w:val="24"/>
        </w:rPr>
        <w:t xml:space="preserve"> </w:t>
      </w:r>
      <w:r w:rsidR="00353D9B">
        <w:rPr>
          <w:rFonts w:ascii="Arial" w:eastAsia="Arial" w:hAnsi="Arial" w:cs="Arial"/>
          <w:color w:val="auto"/>
          <w:szCs w:val="24"/>
        </w:rPr>
        <w:tab/>
      </w:r>
      <w:r w:rsidRPr="00353D9B">
        <w:rPr>
          <w:rFonts w:ascii="Arial" w:eastAsia="Arial" w:hAnsi="Arial" w:cs="Arial"/>
          <w:b/>
          <w:color w:val="auto"/>
          <w:szCs w:val="24"/>
        </w:rPr>
        <w:t>Monitoring, Evaluation and Review</w:t>
      </w:r>
      <w:r w:rsidRPr="001D5C6D">
        <w:rPr>
          <w:rFonts w:ascii="Arial" w:eastAsia="Arial" w:hAnsi="Arial" w:cs="Arial"/>
          <w:color w:val="auto"/>
          <w:szCs w:val="24"/>
        </w:rPr>
        <w:t xml:space="preserve"> </w:t>
      </w:r>
    </w:p>
    <w:p w:rsidR="00135BF0" w:rsidRPr="001D5C6D" w:rsidRDefault="004C68C0" w:rsidP="001D5C6D">
      <w:pPr>
        <w:spacing w:after="16" w:line="259" w:lineRule="auto"/>
        <w:ind w:left="0" w:firstLine="0"/>
        <w:jc w:val="left"/>
        <w:rPr>
          <w:rFonts w:ascii="Arial" w:hAnsi="Arial" w:cs="Arial"/>
          <w:color w:val="auto"/>
          <w:szCs w:val="24"/>
        </w:rPr>
      </w:pPr>
      <w:r w:rsidRPr="001D5C6D">
        <w:rPr>
          <w:rFonts w:ascii="Arial" w:eastAsia="Times New Roman" w:hAnsi="Arial" w:cs="Arial"/>
          <w:color w:val="auto"/>
          <w:szCs w:val="24"/>
        </w:rPr>
        <w:t xml:space="preserve"> </w:t>
      </w:r>
    </w:p>
    <w:p w:rsidR="00135BF0" w:rsidRDefault="001F6356" w:rsidP="00353D9B">
      <w:pPr>
        <w:spacing w:after="0" w:line="240" w:lineRule="auto"/>
        <w:ind w:left="709" w:hanging="709"/>
        <w:jc w:val="left"/>
        <w:rPr>
          <w:rFonts w:ascii="Arial" w:eastAsia="Arial" w:hAnsi="Arial" w:cs="Arial"/>
          <w:color w:val="auto"/>
          <w:szCs w:val="24"/>
        </w:rPr>
      </w:pPr>
      <w:r w:rsidRPr="001D5C6D">
        <w:rPr>
          <w:rFonts w:ascii="Arial" w:hAnsi="Arial" w:cs="Arial"/>
          <w:color w:val="auto"/>
          <w:szCs w:val="24"/>
        </w:rPr>
        <w:t>8.1</w:t>
      </w:r>
      <w:r w:rsidRPr="001D5C6D">
        <w:rPr>
          <w:rFonts w:ascii="Arial" w:eastAsia="Arial" w:hAnsi="Arial" w:cs="Arial"/>
          <w:color w:val="auto"/>
          <w:szCs w:val="24"/>
        </w:rPr>
        <w:t xml:space="preserve"> </w:t>
      </w:r>
      <w:r w:rsidR="00353D9B">
        <w:rPr>
          <w:rFonts w:ascii="Arial" w:eastAsia="Arial" w:hAnsi="Arial" w:cs="Arial"/>
          <w:color w:val="auto"/>
          <w:szCs w:val="24"/>
        </w:rPr>
        <w:tab/>
      </w:r>
      <w:r w:rsidRPr="001D5C6D">
        <w:rPr>
          <w:rFonts w:ascii="Arial" w:eastAsia="Arial" w:hAnsi="Arial" w:cs="Arial"/>
          <w:color w:val="auto"/>
          <w:szCs w:val="24"/>
        </w:rPr>
        <w:t>All</w:t>
      </w:r>
      <w:r w:rsidR="004C68C0" w:rsidRPr="001D5C6D">
        <w:rPr>
          <w:rFonts w:ascii="Arial" w:eastAsia="Arial" w:hAnsi="Arial" w:cs="Arial"/>
          <w:color w:val="auto"/>
          <w:szCs w:val="24"/>
        </w:rPr>
        <w:t xml:space="preserve"> matters raised under the procedure together with the outcome will be reported to the Board</w:t>
      </w:r>
      <w:r w:rsidRPr="001D5C6D">
        <w:rPr>
          <w:rFonts w:ascii="Arial" w:eastAsia="Arial" w:hAnsi="Arial" w:cs="Arial"/>
          <w:color w:val="auto"/>
          <w:szCs w:val="24"/>
        </w:rPr>
        <w:t xml:space="preserve"> on a confidential basis who will have ultimate oversight in ensuring that any recommendations have been implemented.</w:t>
      </w:r>
    </w:p>
    <w:p w:rsidR="00353D9B" w:rsidRPr="001D5C6D" w:rsidRDefault="00353D9B" w:rsidP="00353D9B">
      <w:pPr>
        <w:spacing w:after="0" w:line="240" w:lineRule="auto"/>
        <w:ind w:left="136" w:hanging="11"/>
        <w:jc w:val="left"/>
        <w:rPr>
          <w:rFonts w:ascii="Arial" w:eastAsia="Arial" w:hAnsi="Arial" w:cs="Arial"/>
          <w:color w:val="auto"/>
          <w:szCs w:val="24"/>
        </w:rPr>
      </w:pPr>
    </w:p>
    <w:p w:rsidR="00135BF0" w:rsidRPr="001D5C6D" w:rsidRDefault="004C68C0" w:rsidP="00353D9B">
      <w:pPr>
        <w:spacing w:after="0" w:line="240" w:lineRule="auto"/>
        <w:ind w:left="709" w:hanging="720"/>
        <w:jc w:val="left"/>
        <w:rPr>
          <w:rFonts w:ascii="Arial" w:eastAsia="Arial" w:hAnsi="Arial" w:cs="Arial"/>
          <w:color w:val="auto"/>
          <w:szCs w:val="24"/>
        </w:rPr>
      </w:pPr>
      <w:r w:rsidRPr="001D5C6D">
        <w:rPr>
          <w:rFonts w:ascii="Arial" w:hAnsi="Arial" w:cs="Arial"/>
          <w:color w:val="auto"/>
          <w:szCs w:val="24"/>
        </w:rPr>
        <w:t>8.2</w:t>
      </w:r>
      <w:r w:rsidRPr="001D5C6D">
        <w:rPr>
          <w:rFonts w:ascii="Arial" w:eastAsia="Arial" w:hAnsi="Arial" w:cs="Arial"/>
          <w:color w:val="auto"/>
          <w:szCs w:val="24"/>
        </w:rPr>
        <w:t xml:space="preserve"> </w:t>
      </w:r>
      <w:r w:rsidR="00353D9B">
        <w:rPr>
          <w:rFonts w:ascii="Arial" w:eastAsia="Arial" w:hAnsi="Arial" w:cs="Arial"/>
          <w:color w:val="auto"/>
          <w:szCs w:val="24"/>
        </w:rPr>
        <w:tab/>
      </w:r>
      <w:r w:rsidR="001F6356" w:rsidRPr="001D5C6D">
        <w:rPr>
          <w:rFonts w:ascii="Arial" w:eastAsia="Arial" w:hAnsi="Arial" w:cs="Arial"/>
          <w:color w:val="auto"/>
          <w:szCs w:val="24"/>
        </w:rPr>
        <w:t>The Governing Body will</w:t>
      </w:r>
      <w:r w:rsidR="001F6356" w:rsidRPr="001D5C6D">
        <w:rPr>
          <w:rFonts w:ascii="Arial" w:hAnsi="Arial" w:cs="Arial"/>
          <w:color w:val="auto"/>
          <w:szCs w:val="24"/>
        </w:rPr>
        <w:t xml:space="preserve"> </w:t>
      </w:r>
      <w:r w:rsidR="001F6356" w:rsidRPr="001D5C6D">
        <w:rPr>
          <w:rFonts w:ascii="Arial" w:eastAsia="Arial" w:hAnsi="Arial" w:cs="Arial"/>
          <w:color w:val="auto"/>
          <w:szCs w:val="24"/>
        </w:rPr>
        <w:t>review the policy at least every two years and assess its implementation</w:t>
      </w:r>
      <w:r w:rsidR="001F6356" w:rsidRPr="001D5C6D">
        <w:rPr>
          <w:rFonts w:ascii="Arial" w:hAnsi="Arial" w:cs="Arial"/>
          <w:color w:val="auto"/>
          <w:szCs w:val="24"/>
        </w:rPr>
        <w:t xml:space="preserve"> </w:t>
      </w:r>
      <w:r w:rsidR="001F6356" w:rsidRPr="001D5C6D">
        <w:rPr>
          <w:rFonts w:ascii="Arial" w:eastAsia="Arial" w:hAnsi="Arial" w:cs="Arial"/>
          <w:color w:val="auto"/>
          <w:szCs w:val="24"/>
        </w:rPr>
        <w:t>and effectiveness. This review will seek to obtain comments and experiences of those who may</w:t>
      </w:r>
      <w:r w:rsidR="001F6356" w:rsidRPr="001D5C6D">
        <w:rPr>
          <w:rFonts w:ascii="Arial" w:hAnsi="Arial" w:cs="Arial"/>
          <w:color w:val="auto"/>
          <w:szCs w:val="24"/>
        </w:rPr>
        <w:t xml:space="preserve"> </w:t>
      </w:r>
      <w:r w:rsidR="001F6356" w:rsidRPr="001D5C6D">
        <w:rPr>
          <w:rFonts w:ascii="Arial" w:eastAsia="Arial" w:hAnsi="Arial" w:cs="Arial"/>
          <w:color w:val="auto"/>
          <w:szCs w:val="24"/>
        </w:rPr>
        <w:t xml:space="preserve">have had reasons to invoke the procedure. The policy will be promoted and implemented through the Academy. </w:t>
      </w:r>
    </w:p>
    <w:sectPr w:rsidR="00135BF0" w:rsidRPr="001D5C6D">
      <w:headerReference w:type="even" r:id="rId14"/>
      <w:headerReference w:type="default" r:id="rId15"/>
      <w:headerReference w:type="first" r:id="rId16"/>
      <w:pgSz w:w="11911" w:h="16841"/>
      <w:pgMar w:top="989" w:right="875" w:bottom="490" w:left="780" w:header="6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58" w:rsidRDefault="004C68C0">
      <w:pPr>
        <w:spacing w:after="0" w:line="240" w:lineRule="auto"/>
      </w:pPr>
      <w:r>
        <w:separator/>
      </w:r>
    </w:p>
  </w:endnote>
  <w:endnote w:type="continuationSeparator" w:id="0">
    <w:p w:rsidR="00091F58" w:rsidRDefault="004C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83747"/>
      <w:docPartObj>
        <w:docPartGallery w:val="Page Numbers (Bottom of Page)"/>
        <w:docPartUnique/>
      </w:docPartObj>
    </w:sdtPr>
    <w:sdtEndPr>
      <w:rPr>
        <w:noProof/>
      </w:rPr>
    </w:sdtEndPr>
    <w:sdtContent>
      <w:p w:rsidR="00045F65" w:rsidRDefault="00045F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5F65" w:rsidRDefault="00045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32401"/>
      <w:docPartObj>
        <w:docPartGallery w:val="Page Numbers (Bottom of Page)"/>
        <w:docPartUnique/>
      </w:docPartObj>
    </w:sdtPr>
    <w:sdtEndPr>
      <w:rPr>
        <w:rFonts w:ascii="Arial" w:hAnsi="Arial" w:cs="Arial"/>
        <w:noProof/>
        <w:sz w:val="16"/>
        <w:szCs w:val="16"/>
      </w:rPr>
    </w:sdtEndPr>
    <w:sdtContent>
      <w:p w:rsidR="00045F65" w:rsidRPr="00045F65" w:rsidRDefault="00045F65">
        <w:pPr>
          <w:pStyle w:val="Footer"/>
          <w:jc w:val="right"/>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6E7C3DA4" wp14:editId="2F55A3C1">
                  <wp:simplePos x="0" y="0"/>
                  <wp:positionH relativeFrom="column">
                    <wp:posOffset>0</wp:posOffset>
                  </wp:positionH>
                  <wp:positionV relativeFrom="paragraph">
                    <wp:posOffset>114300</wp:posOffset>
                  </wp:positionV>
                  <wp:extent cx="3544230" cy="120353"/>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3544230" cy="120353"/>
                          </a:xfrm>
                          <a:prstGeom prst="rect">
                            <a:avLst/>
                          </a:prstGeom>
                          <a:ln>
                            <a:noFill/>
                          </a:ln>
                        </wps:spPr>
                        <wps:txbx>
                          <w:txbxContent>
                            <w:p w:rsidR="00045F65" w:rsidRDefault="00045F65" w:rsidP="00045F65">
                              <w:pPr>
                                <w:spacing w:after="160" w:line="259" w:lineRule="auto"/>
                                <w:ind w:left="0" w:firstLine="0"/>
                                <w:jc w:val="left"/>
                              </w:pPr>
                              <w:r>
                                <w:rPr>
                                  <w:color w:val="555655"/>
                                  <w:sz w:val="14"/>
                                </w:rPr>
                                <w:t>Steel River Academy Trust – Whistle Blowing Policy September 2019</w:t>
                              </w:r>
                            </w:p>
                          </w:txbxContent>
                        </wps:txbx>
                        <wps:bodyPr horzOverflow="overflow" vert="horz" lIns="0" tIns="0" rIns="0" bIns="0" rtlCol="0">
                          <a:noAutofit/>
                        </wps:bodyPr>
                      </wps:wsp>
                    </a:graphicData>
                  </a:graphic>
                </wp:anchor>
              </w:drawing>
            </mc:Choice>
            <mc:Fallback>
              <w:pict>
                <v:rect w14:anchorId="6E7C3DA4" id="Rectangle 3" o:spid="_x0000_s1026" style="position:absolute;left:0;text-align:left;margin-left:0;margin-top:9pt;width:279.0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" filled="f" stroked="f">
                  <v:textbox inset="0,0,0,0">
                    <w:txbxContent>
                      <w:p w:rsidR="00045F65" w:rsidRDefault="00045F65" w:rsidP="00045F65">
                        <w:pPr>
                          <w:spacing w:after="160" w:line="259" w:lineRule="auto"/>
                          <w:ind w:left="0" w:firstLine="0"/>
                          <w:jc w:val="left"/>
                        </w:pPr>
                        <w:r>
                          <w:rPr>
                            <w:color w:val="555655"/>
                            <w:sz w:val="14"/>
                          </w:rPr>
                          <w:t>Steel River Academy Trust – Whistle Blowing Policy September 2019</w:t>
                        </w:r>
                      </w:p>
                    </w:txbxContent>
                  </v:textbox>
                  <w10:wrap type="square"/>
                </v:rect>
              </w:pict>
            </mc:Fallback>
          </mc:AlternateContent>
        </w:r>
        <w:r w:rsidRPr="00045F65">
          <w:rPr>
            <w:rFonts w:ascii="Arial" w:hAnsi="Arial" w:cs="Arial"/>
            <w:sz w:val="16"/>
            <w:szCs w:val="16"/>
          </w:rPr>
          <w:fldChar w:fldCharType="begin"/>
        </w:r>
        <w:r w:rsidRPr="00045F65">
          <w:rPr>
            <w:rFonts w:ascii="Arial" w:hAnsi="Arial" w:cs="Arial"/>
            <w:sz w:val="16"/>
            <w:szCs w:val="16"/>
          </w:rPr>
          <w:instrText xml:space="preserve"> PAGE   \* MERGEFORMAT </w:instrText>
        </w:r>
        <w:r w:rsidRPr="00045F65">
          <w:rPr>
            <w:rFonts w:ascii="Arial" w:hAnsi="Arial" w:cs="Arial"/>
            <w:sz w:val="16"/>
            <w:szCs w:val="16"/>
          </w:rPr>
          <w:fldChar w:fldCharType="separate"/>
        </w:r>
        <w:r w:rsidR="00866D54">
          <w:rPr>
            <w:rFonts w:ascii="Arial" w:hAnsi="Arial" w:cs="Arial"/>
            <w:noProof/>
            <w:sz w:val="16"/>
            <w:szCs w:val="16"/>
          </w:rPr>
          <w:t>4</w:t>
        </w:r>
        <w:r w:rsidRPr="00045F65">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65" w:rsidRDefault="00045F65" w:rsidP="00045F65">
    <w:pPr>
      <w:spacing w:after="0" w:line="259" w:lineRule="auto"/>
      <w:ind w:left="0" w:right="127" w:firstLine="0"/>
      <w:jc w:val="right"/>
    </w:pPr>
    <w:r>
      <w:rPr>
        <w:noProof/>
      </w:rPr>
      <mc:AlternateContent>
        <mc:Choice Requires="wps">
          <w:drawing>
            <wp:anchor distT="0" distB="0" distL="114300" distR="114300" simplePos="0" relativeHeight="251663360" behindDoc="0" locked="0" layoutInCell="1" allowOverlap="1" wp14:anchorId="78A75CC1" wp14:editId="479E3F70">
              <wp:simplePos x="0" y="0"/>
              <wp:positionH relativeFrom="column">
                <wp:posOffset>-104140</wp:posOffset>
              </wp:positionH>
              <wp:positionV relativeFrom="paragraph">
                <wp:posOffset>28006</wp:posOffset>
              </wp:positionV>
              <wp:extent cx="3544230" cy="120353"/>
              <wp:effectExtent l="0" t="0" r="0" b="0"/>
              <wp:wrapSquare wrapText="bothSides"/>
              <wp:docPr id="5437" name="Rectangle 5437"/>
              <wp:cNvGraphicFramePr/>
              <a:graphic xmlns:a="http://schemas.openxmlformats.org/drawingml/2006/main">
                <a:graphicData uri="http://schemas.microsoft.com/office/word/2010/wordprocessingShape">
                  <wps:wsp>
                    <wps:cNvSpPr/>
                    <wps:spPr>
                      <a:xfrm>
                        <a:off x="0" y="0"/>
                        <a:ext cx="3544230" cy="120353"/>
                      </a:xfrm>
                      <a:prstGeom prst="rect">
                        <a:avLst/>
                      </a:prstGeom>
                      <a:ln>
                        <a:noFill/>
                      </a:ln>
                    </wps:spPr>
                    <wps:txbx>
                      <w:txbxContent>
                        <w:p w:rsidR="00045F65" w:rsidRDefault="00045F65" w:rsidP="00045F65">
                          <w:pPr>
                            <w:spacing w:after="160" w:line="259" w:lineRule="auto"/>
                            <w:ind w:left="0" w:firstLine="0"/>
                            <w:jc w:val="left"/>
                          </w:pPr>
                          <w:r>
                            <w:rPr>
                              <w:color w:val="555655"/>
                              <w:sz w:val="14"/>
                            </w:rPr>
                            <w:t>Steel River Academy Trust – Whistle Blowing Policy September 2019</w:t>
                          </w:r>
                        </w:p>
                      </w:txbxContent>
                    </wps:txbx>
                    <wps:bodyPr horzOverflow="overflow" vert="horz" lIns="0" tIns="0" rIns="0" bIns="0" rtlCol="0">
                      <a:noAutofit/>
                    </wps:bodyPr>
                  </wps:wsp>
                </a:graphicData>
              </a:graphic>
            </wp:anchor>
          </w:drawing>
        </mc:Choice>
        <mc:Fallback>
          <w:pict>
            <v:rect w14:anchorId="78A75CC1" id="Rectangle 5437" o:spid="_x0000_s1027" style="position:absolute;left:0;text-align:left;margin-left:-8.2pt;margin-top:2.2pt;width:279.0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" filled="f" stroked="f">
              <v:textbox inset="0,0,0,0">
                <w:txbxContent>
                  <w:p w:rsidR="00045F65" w:rsidRDefault="00045F65" w:rsidP="00045F65">
                    <w:pPr>
                      <w:spacing w:after="160" w:line="259" w:lineRule="auto"/>
                      <w:ind w:left="0" w:firstLine="0"/>
                      <w:jc w:val="left"/>
                    </w:pPr>
                    <w:r>
                      <w:rPr>
                        <w:color w:val="555655"/>
                        <w:sz w:val="14"/>
                      </w:rPr>
                      <w:t>Steel River Academy Trust – Whistle Blowing Policy September 2019</w:t>
                    </w:r>
                  </w:p>
                </w:txbxContent>
              </v:textbox>
              <w10:wrap type="square"/>
            </v:rect>
          </w:pict>
        </mc:Fallback>
      </mc:AlternateContent>
    </w:r>
    <w:r>
      <w:rPr>
        <w:color w:val="181717"/>
        <w:sz w:val="18"/>
      </w:rPr>
      <w:fldChar w:fldCharType="begin"/>
    </w:r>
    <w:r>
      <w:instrText xml:space="preserve"> PAGE   \* MERGEFORMAT </w:instrText>
    </w:r>
    <w:r>
      <w:rPr>
        <w:color w:val="181717"/>
        <w:sz w:val="18"/>
      </w:rPr>
      <w:fldChar w:fldCharType="separate"/>
    </w:r>
    <w:r w:rsidRPr="00045F65">
      <w:rPr>
        <w:noProof/>
        <w:color w:val="555655"/>
        <w:sz w:val="17"/>
      </w:rPr>
      <w:t>1</w:t>
    </w:r>
    <w:r>
      <w:rPr>
        <w:color w:val="555655"/>
        <w:sz w:val="17"/>
      </w:rPr>
      <w:fldChar w:fldCharType="end"/>
    </w:r>
  </w:p>
  <w:p w:rsidR="00045F65" w:rsidRDefault="0004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58" w:rsidRDefault="004C68C0">
      <w:pPr>
        <w:spacing w:after="0" w:line="240" w:lineRule="auto"/>
      </w:pPr>
      <w:r>
        <w:separator/>
      </w:r>
    </w:p>
  </w:footnote>
  <w:footnote w:type="continuationSeparator" w:id="0">
    <w:p w:rsidR="00091F58" w:rsidRDefault="004C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0" w:rsidRDefault="00135BF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0" w:rsidRDefault="00135BF0">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0" w:rsidRDefault="00135BF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0" w:rsidRDefault="00135BF0">
    <w:pPr>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0" w:rsidRDefault="00135BF0">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0" w:rsidRDefault="004C68C0">
    <w:pPr>
      <w:spacing w:after="23"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477012</wp:posOffset>
              </wp:positionH>
              <wp:positionV relativeFrom="page">
                <wp:posOffset>544068</wp:posOffset>
              </wp:positionV>
              <wp:extent cx="6484621" cy="18288"/>
              <wp:effectExtent l="0" t="0" r="0" b="0"/>
              <wp:wrapSquare wrapText="bothSides"/>
              <wp:docPr id="7420" name="Group 7420"/>
              <wp:cNvGraphicFramePr/>
              <a:graphic xmlns:a="http://schemas.openxmlformats.org/drawingml/2006/main">
                <a:graphicData uri="http://schemas.microsoft.com/office/word/2010/wordprocessingGroup">
                  <wpg:wgp>
                    <wpg:cNvGrpSpPr/>
                    <wpg:grpSpPr>
                      <a:xfrm>
                        <a:off x="0" y="0"/>
                        <a:ext cx="6484621" cy="18288"/>
                        <a:chOff x="0" y="0"/>
                        <a:chExt cx="6484621" cy="18288"/>
                      </a:xfrm>
                    </wpg:grpSpPr>
                    <wps:wsp>
                      <wps:cNvPr id="7805" name="Shape 7805"/>
                      <wps:cNvSpPr/>
                      <wps:spPr>
                        <a:xfrm>
                          <a:off x="0" y="0"/>
                          <a:ext cx="6484621" cy="18288"/>
                        </a:xfrm>
                        <a:custGeom>
                          <a:avLst/>
                          <a:gdLst/>
                          <a:ahLst/>
                          <a:cxnLst/>
                          <a:rect l="0" t="0" r="0" b="0"/>
                          <a:pathLst>
                            <a:path w="6484621" h="18288">
                              <a:moveTo>
                                <a:pt x="0" y="0"/>
                              </a:moveTo>
                              <a:lnTo>
                                <a:pt x="6484621" y="0"/>
                              </a:lnTo>
                              <a:lnTo>
                                <a:pt x="6484621" y="18288"/>
                              </a:lnTo>
                              <a:lnTo>
                                <a:pt x="0" y="18288"/>
                              </a:lnTo>
                              <a:lnTo>
                                <a:pt x="0" y="0"/>
                              </a:lnTo>
                            </a:path>
                          </a:pathLst>
                        </a:custGeom>
                        <a:ln w="0" cap="flat">
                          <a:miter lim="127000"/>
                        </a:ln>
                      </wps:spPr>
                      <wps:style>
                        <a:lnRef idx="0">
                          <a:srgbClr val="000000">
                            <a:alpha val="0"/>
                          </a:srgbClr>
                        </a:lnRef>
                        <a:fillRef idx="1">
                          <a:srgbClr val="006600"/>
                        </a:fillRef>
                        <a:effectRef idx="0">
                          <a:scrgbClr r="0" g="0" b="0"/>
                        </a:effectRef>
                        <a:fontRef idx="none"/>
                      </wps:style>
                      <wps:bodyPr/>
                    </wps:wsp>
                  </wpg:wgp>
                </a:graphicData>
              </a:graphic>
            </wp:anchor>
          </w:drawing>
        </mc:Choice>
        <mc:Fallback xmlns:a="http://schemas.openxmlformats.org/drawingml/2006/main">
          <w:pict>
            <v:group id="Group 7420" style="width:510.6pt;height:1.44pt;position:absolute;mso-position-horizontal-relative:page;mso-position-horizontal:absolute;margin-left:37.56pt;mso-position-vertical-relative:page;margin-top:42.84pt;" coordsize="64846,182">
              <v:shape id="Shape 7806" style="position:absolute;width:64846;height:182;left:0;top:0;" coordsize="6484621,18288" path="m0,0l6484621,0l6484621,18288l0,18288l0,0">
                <v:stroke weight="0pt" endcap="flat" joinstyle="miter" miterlimit="10" on="false" color="#000000" opacity="0"/>
                <v:fill on="true" color="#006600"/>
              </v:shape>
              <w10:wrap type="square"/>
            </v:group>
          </w:pict>
        </mc:Fallback>
      </mc:AlternateContent>
    </w:r>
    <w:r>
      <w:rPr>
        <w:sz w:val="22"/>
      </w:rPr>
      <w:t xml:space="preserve"> </w:t>
    </w:r>
  </w:p>
  <w:p w:rsidR="00135BF0" w:rsidRDefault="004C68C0">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43A9"/>
    <w:multiLevelType w:val="hybridMultilevel"/>
    <w:tmpl w:val="C37AD334"/>
    <w:lvl w:ilvl="0" w:tplc="F6907A8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747FF4">
      <w:start w:val="1"/>
      <w:numFmt w:val="bullet"/>
      <w:lvlText w:val="o"/>
      <w:lvlJc w:val="left"/>
      <w:pPr>
        <w:ind w:left="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6AABB2">
      <w:start w:val="1"/>
      <w:numFmt w:val="bullet"/>
      <w:lvlText w:val="o"/>
      <w:lvlJc w:val="left"/>
      <w:pPr>
        <w:ind w:left="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B4402FC">
      <w:start w:val="1"/>
      <w:numFmt w:val="bullet"/>
      <w:lvlText w:val="•"/>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ECA3C66">
      <w:start w:val="1"/>
      <w:numFmt w:val="bullet"/>
      <w:lvlText w:val="o"/>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94E6E10">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70E60A">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388F7A4">
      <w:start w:val="1"/>
      <w:numFmt w:val="bullet"/>
      <w:lvlText w:val="o"/>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C243CE">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6A45EB"/>
    <w:multiLevelType w:val="hybridMultilevel"/>
    <w:tmpl w:val="1C1EEA1A"/>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 w15:restartNumberingAfterBreak="0">
    <w:nsid w:val="3F711AA4"/>
    <w:multiLevelType w:val="hybridMultilevel"/>
    <w:tmpl w:val="8698F056"/>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 w15:restartNumberingAfterBreak="0">
    <w:nsid w:val="42E93292"/>
    <w:multiLevelType w:val="hybridMultilevel"/>
    <w:tmpl w:val="88269E98"/>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4" w15:restartNumberingAfterBreak="0">
    <w:nsid w:val="515E39D4"/>
    <w:multiLevelType w:val="multilevel"/>
    <w:tmpl w:val="38C0798A"/>
    <w:lvl w:ilvl="0">
      <w:start w:val="1"/>
      <w:numFmt w:val="decimal"/>
      <w:lvlText w:val="%1."/>
      <w:lvlJc w:val="left"/>
      <w:pPr>
        <w:ind w:left="720"/>
      </w:pPr>
      <w:rPr>
        <w:rFonts w:ascii="Calibri" w:eastAsia="Calibri" w:hAnsi="Calibri" w:cs="Calibri"/>
        <w:b w:val="0"/>
        <w:i w:val="0"/>
        <w:strike w:val="0"/>
        <w:dstrike w:val="0"/>
        <w:color w:val="auto"/>
        <w:sz w:val="28"/>
        <w:szCs w:val="28"/>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start w:val="1"/>
      <w:numFmt w:val="bullet"/>
      <w:lvlText w:val="•"/>
      <w:lvlJc w:val="left"/>
      <w:pPr>
        <w:ind w:left="1053"/>
      </w:pPr>
      <w:rPr>
        <w:rFonts w:ascii="Arial" w:eastAsia="Arial" w:hAnsi="Arial" w:cs="Arial"/>
        <w:b w:val="0"/>
        <w:i w:val="0"/>
        <w:strike w:val="0"/>
        <w:dstrike w:val="0"/>
        <w:color w:val="006600"/>
        <w:sz w:val="24"/>
        <w:szCs w:val="24"/>
        <w:u w:val="none" w:color="000000"/>
        <w:bdr w:val="none" w:sz="0" w:space="0" w:color="auto"/>
        <w:shd w:val="clear" w:color="auto" w:fill="auto"/>
        <w:vertAlign w:val="baseline"/>
      </w:rPr>
    </w:lvl>
    <w:lvl w:ilvl="3">
      <w:start w:val="1"/>
      <w:numFmt w:val="bullet"/>
      <w:lvlText w:val="•"/>
      <w:lvlJc w:val="left"/>
      <w:pPr>
        <w:ind w:left="1788"/>
      </w:pPr>
      <w:rPr>
        <w:rFonts w:ascii="Arial" w:eastAsia="Arial" w:hAnsi="Arial" w:cs="Arial"/>
        <w:b w:val="0"/>
        <w:i w:val="0"/>
        <w:strike w:val="0"/>
        <w:dstrike w:val="0"/>
        <w:color w:val="006600"/>
        <w:sz w:val="24"/>
        <w:szCs w:val="24"/>
        <w:u w:val="none" w:color="000000"/>
        <w:bdr w:val="none" w:sz="0" w:space="0" w:color="auto"/>
        <w:shd w:val="clear" w:color="auto" w:fill="auto"/>
        <w:vertAlign w:val="baseline"/>
      </w:rPr>
    </w:lvl>
    <w:lvl w:ilvl="4">
      <w:start w:val="1"/>
      <w:numFmt w:val="bullet"/>
      <w:lvlText w:val="o"/>
      <w:lvlJc w:val="left"/>
      <w:pPr>
        <w:ind w:left="2508"/>
      </w:pPr>
      <w:rPr>
        <w:rFonts w:ascii="Segoe UI Symbol" w:eastAsia="Segoe UI Symbol" w:hAnsi="Segoe UI Symbol" w:cs="Segoe UI Symbol"/>
        <w:b w:val="0"/>
        <w:i w:val="0"/>
        <w:strike w:val="0"/>
        <w:dstrike w:val="0"/>
        <w:color w:val="006600"/>
        <w:sz w:val="24"/>
        <w:szCs w:val="24"/>
        <w:u w:val="none" w:color="000000"/>
        <w:bdr w:val="none" w:sz="0" w:space="0" w:color="auto"/>
        <w:shd w:val="clear" w:color="auto" w:fill="auto"/>
        <w:vertAlign w:val="baseline"/>
      </w:rPr>
    </w:lvl>
    <w:lvl w:ilvl="5">
      <w:start w:val="1"/>
      <w:numFmt w:val="bullet"/>
      <w:lvlText w:val="▪"/>
      <w:lvlJc w:val="left"/>
      <w:pPr>
        <w:ind w:left="3228"/>
      </w:pPr>
      <w:rPr>
        <w:rFonts w:ascii="Segoe UI Symbol" w:eastAsia="Segoe UI Symbol" w:hAnsi="Segoe UI Symbol" w:cs="Segoe UI Symbol"/>
        <w:b w:val="0"/>
        <w:i w:val="0"/>
        <w:strike w:val="0"/>
        <w:dstrike w:val="0"/>
        <w:color w:val="006600"/>
        <w:sz w:val="24"/>
        <w:szCs w:val="24"/>
        <w:u w:val="none" w:color="000000"/>
        <w:bdr w:val="none" w:sz="0" w:space="0" w:color="auto"/>
        <w:shd w:val="clear" w:color="auto" w:fill="auto"/>
        <w:vertAlign w:val="baseline"/>
      </w:rPr>
    </w:lvl>
    <w:lvl w:ilvl="6">
      <w:start w:val="1"/>
      <w:numFmt w:val="bullet"/>
      <w:lvlText w:val="•"/>
      <w:lvlJc w:val="left"/>
      <w:pPr>
        <w:ind w:left="3948"/>
      </w:pPr>
      <w:rPr>
        <w:rFonts w:ascii="Arial" w:eastAsia="Arial" w:hAnsi="Arial" w:cs="Arial"/>
        <w:b w:val="0"/>
        <w:i w:val="0"/>
        <w:strike w:val="0"/>
        <w:dstrike w:val="0"/>
        <w:color w:val="006600"/>
        <w:sz w:val="24"/>
        <w:szCs w:val="24"/>
        <w:u w:val="none" w:color="000000"/>
        <w:bdr w:val="none" w:sz="0" w:space="0" w:color="auto"/>
        <w:shd w:val="clear" w:color="auto" w:fill="auto"/>
        <w:vertAlign w:val="baseline"/>
      </w:rPr>
    </w:lvl>
    <w:lvl w:ilvl="7">
      <w:start w:val="1"/>
      <w:numFmt w:val="bullet"/>
      <w:lvlText w:val="o"/>
      <w:lvlJc w:val="left"/>
      <w:pPr>
        <w:ind w:left="4668"/>
      </w:pPr>
      <w:rPr>
        <w:rFonts w:ascii="Segoe UI Symbol" w:eastAsia="Segoe UI Symbol" w:hAnsi="Segoe UI Symbol" w:cs="Segoe UI Symbol"/>
        <w:b w:val="0"/>
        <w:i w:val="0"/>
        <w:strike w:val="0"/>
        <w:dstrike w:val="0"/>
        <w:color w:val="006600"/>
        <w:sz w:val="24"/>
        <w:szCs w:val="24"/>
        <w:u w:val="none" w:color="000000"/>
        <w:bdr w:val="none" w:sz="0" w:space="0" w:color="auto"/>
        <w:shd w:val="clear" w:color="auto" w:fill="auto"/>
        <w:vertAlign w:val="baseline"/>
      </w:rPr>
    </w:lvl>
    <w:lvl w:ilvl="8">
      <w:start w:val="1"/>
      <w:numFmt w:val="bullet"/>
      <w:lvlText w:val="▪"/>
      <w:lvlJc w:val="left"/>
      <w:pPr>
        <w:ind w:left="5388"/>
      </w:pPr>
      <w:rPr>
        <w:rFonts w:ascii="Segoe UI Symbol" w:eastAsia="Segoe UI Symbol" w:hAnsi="Segoe UI Symbol" w:cs="Segoe UI Symbol"/>
        <w:b w:val="0"/>
        <w:i w:val="0"/>
        <w:strike w:val="0"/>
        <w:dstrike w:val="0"/>
        <w:color w:val="006600"/>
        <w:sz w:val="24"/>
        <w:szCs w:val="24"/>
        <w:u w:val="none" w:color="000000"/>
        <w:bdr w:val="none" w:sz="0" w:space="0" w:color="auto"/>
        <w:shd w:val="clear" w:color="auto" w:fill="auto"/>
        <w:vertAlign w:val="baseline"/>
      </w:rPr>
    </w:lvl>
  </w:abstractNum>
  <w:abstractNum w:abstractNumId="5" w15:restartNumberingAfterBreak="0">
    <w:nsid w:val="5FDC483F"/>
    <w:multiLevelType w:val="hybridMultilevel"/>
    <w:tmpl w:val="D7CC32A4"/>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6" w15:restartNumberingAfterBreak="0">
    <w:nsid w:val="66CA1DAA"/>
    <w:multiLevelType w:val="hybridMultilevel"/>
    <w:tmpl w:val="60200A8E"/>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F0"/>
    <w:rsid w:val="00045F65"/>
    <w:rsid w:val="00091F58"/>
    <w:rsid w:val="00135BF0"/>
    <w:rsid w:val="001D5C6D"/>
    <w:rsid w:val="001F0E5E"/>
    <w:rsid w:val="001F6356"/>
    <w:rsid w:val="003065E6"/>
    <w:rsid w:val="00353D9B"/>
    <w:rsid w:val="004C68C0"/>
    <w:rsid w:val="0075344C"/>
    <w:rsid w:val="00856685"/>
    <w:rsid w:val="00866D54"/>
    <w:rsid w:val="009E6E8A"/>
    <w:rsid w:val="00DD650E"/>
    <w:rsid w:val="00F4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700BA9-4751-41F0-AD08-678FB6E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
      <w:outlineLvl w:val="0"/>
    </w:pPr>
    <w:rPr>
      <w:rFonts w:ascii="Calibri" w:eastAsia="Calibri" w:hAnsi="Calibri" w:cs="Calibri"/>
      <w:b/>
      <w:color w:val="0066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6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D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6D"/>
    <w:rPr>
      <w:rFonts w:ascii="Calibri" w:eastAsia="Calibri" w:hAnsi="Calibri" w:cs="Calibri"/>
      <w:color w:val="000000"/>
      <w:sz w:val="24"/>
    </w:rPr>
  </w:style>
  <w:style w:type="paragraph" w:styleId="ListParagraph">
    <w:name w:val="List Paragraph"/>
    <w:basedOn w:val="Normal"/>
    <w:uiPriority w:val="34"/>
    <w:qFormat/>
    <w:rsid w:val="0035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Grievance policy</vt:lpstr>
    </vt:vector>
  </TitlesOfParts>
  <Company>One IT Schools</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subject/>
  <dc:creator>Candice Jones</dc:creator>
  <cp:keywords/>
  <cp:lastModifiedBy>Headteacher</cp:lastModifiedBy>
  <cp:revision>2</cp:revision>
  <dcterms:created xsi:type="dcterms:W3CDTF">2019-11-04T14:50:00Z</dcterms:created>
  <dcterms:modified xsi:type="dcterms:W3CDTF">2019-11-04T14:50:00Z</dcterms:modified>
</cp:coreProperties>
</file>